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29D52">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default" w:ascii="Times New Roman" w:hAnsi="Times New Roman" w:cs="Times New Roman"/>
          <w:b/>
          <w:kern w:val="0"/>
          <w:sz w:val="48"/>
          <w:szCs w:val="48"/>
        </w:rPr>
      </w:pPr>
      <w:r>
        <w:rPr>
          <w:rFonts w:hint="default" w:ascii="Times New Roman" w:hAnsi="Times New Roman" w:cs="Times New Roman"/>
          <w:b/>
          <w:kern w:val="0"/>
          <w:sz w:val="48"/>
          <w:szCs w:val="48"/>
        </w:rPr>
        <w:t>梅州市嘉应粮食交易中心</w:t>
      </w:r>
    </w:p>
    <w:p w14:paraId="3D858570">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default" w:ascii="Times New Roman" w:hAnsi="Times New Roman" w:cs="Times New Roman"/>
          <w:b/>
          <w:kern w:val="0"/>
          <w:sz w:val="48"/>
          <w:szCs w:val="48"/>
        </w:rPr>
      </w:pPr>
      <w:r>
        <w:rPr>
          <w:rFonts w:hint="default" w:ascii="Times New Roman" w:hAnsi="Times New Roman" w:cs="Times New Roman"/>
          <w:b/>
          <w:kern w:val="0"/>
          <w:sz w:val="48"/>
          <w:szCs w:val="48"/>
        </w:rPr>
        <w:t xml:space="preserve"> 粮食竞价采购交易合同</w:t>
      </w:r>
    </w:p>
    <w:p w14:paraId="56E01F24">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Times New Roman" w:hAnsi="Times New Roman" w:cs="Times New Roman"/>
          <w:kern w:val="0"/>
          <w:sz w:val="28"/>
        </w:rPr>
      </w:pPr>
      <w:r>
        <w:rPr>
          <w:rFonts w:hint="default" w:ascii="Times New Roman" w:hAnsi="Times New Roman" w:cs="Times New Roman"/>
          <w:kern w:val="0"/>
          <w:sz w:val="28"/>
        </w:rPr>
        <w:t>合同编号：</w:t>
      </w:r>
    </w:p>
    <w:p w14:paraId="197068A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Times New Roman" w:hAnsi="Times New Roman" w:cs="Times New Roman"/>
          <w:kern w:val="0"/>
          <w:sz w:val="28"/>
        </w:rPr>
      </w:pPr>
      <w:r>
        <w:rPr>
          <w:rFonts w:hint="default" w:ascii="Times New Roman" w:hAnsi="Times New Roman" w:cs="Times New Roman"/>
          <w:kern w:val="0"/>
          <w:sz w:val="28"/>
        </w:rPr>
        <w:t>买方全称：五华县琴江粮油收储管理</w:t>
      </w:r>
      <w:r>
        <w:rPr>
          <w:rFonts w:hint="default" w:ascii="Times New Roman" w:hAnsi="Times New Roman" w:cs="Times New Roman"/>
          <w:sz w:val="28"/>
          <w:szCs w:val="28"/>
        </w:rPr>
        <w:t>有限公司</w:t>
      </w:r>
    </w:p>
    <w:p w14:paraId="65E933F1">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8"/>
          <w:szCs w:val="28"/>
        </w:rPr>
      </w:pPr>
      <w:r>
        <w:rPr>
          <w:rFonts w:hint="default" w:ascii="Times New Roman" w:hAnsi="Times New Roman" w:cs="Times New Roman"/>
          <w:kern w:val="0"/>
          <w:sz w:val="28"/>
        </w:rPr>
        <w:t>卖方全称：</w:t>
      </w:r>
    </w:p>
    <w:p w14:paraId="0612C53F">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hint="default" w:ascii="Times New Roman" w:hAnsi="Times New Roman" w:cs="Times New Roman"/>
          <w:kern w:val="0"/>
          <w:sz w:val="24"/>
        </w:rPr>
      </w:pPr>
      <w:r>
        <w:rPr>
          <w:rFonts w:hint="default" w:ascii="Times New Roman" w:hAnsi="Times New Roman" w:cs="Times New Roman"/>
          <w:b/>
          <w:bCs/>
          <w:kern w:val="0"/>
          <w:sz w:val="24"/>
        </w:rPr>
        <w:t>一、成交标的</w:t>
      </w:r>
      <w:r>
        <w:rPr>
          <w:rFonts w:hint="default" w:ascii="Times New Roman" w:hAnsi="Times New Roman" w:cs="Times New Roman"/>
          <w:kern w:val="0"/>
          <w:sz w:val="24"/>
        </w:rPr>
        <w:t xml:space="preserve">（见下表）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77"/>
        <w:gridCol w:w="1522"/>
        <w:gridCol w:w="3819"/>
      </w:tblGrid>
      <w:tr w14:paraId="55AB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48" w:type="dxa"/>
            <w:vAlign w:val="center"/>
          </w:tcPr>
          <w:p w14:paraId="62FCAB3E">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bookmarkStart w:id="0" w:name="_GoBack" w:colFirst="3" w:colLast="3"/>
            <w:r>
              <w:rPr>
                <w:rFonts w:hint="default" w:ascii="Times New Roman" w:hAnsi="Times New Roman" w:eastAsia="宋体" w:cs="Times New Roman"/>
                <w:b/>
                <w:bCs/>
                <w:sz w:val="24"/>
              </w:rPr>
              <w:t>标的号</w:t>
            </w:r>
          </w:p>
        </w:tc>
        <w:tc>
          <w:tcPr>
            <w:tcW w:w="1877" w:type="dxa"/>
            <w:vAlign w:val="center"/>
          </w:tcPr>
          <w:p w14:paraId="5A7A2487">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lang w:val="en-US" w:eastAsia="zh-CN"/>
              </w:rPr>
            </w:pPr>
            <w:r>
              <w:rPr>
                <w:rFonts w:hint="eastAsia" w:ascii="Times New Roman" w:eastAsia="宋体" w:cs="Times New Roman"/>
                <w:sz w:val="24"/>
                <w:lang w:val="en-US" w:eastAsia="zh-CN"/>
              </w:rPr>
              <w:t>01</w:t>
            </w:r>
          </w:p>
        </w:tc>
        <w:tc>
          <w:tcPr>
            <w:tcW w:w="1522" w:type="dxa"/>
            <w:vAlign w:val="center"/>
          </w:tcPr>
          <w:p w14:paraId="4514A72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生产年度</w:t>
            </w:r>
          </w:p>
        </w:tc>
        <w:tc>
          <w:tcPr>
            <w:tcW w:w="3819" w:type="dxa"/>
            <w:vAlign w:val="center"/>
          </w:tcPr>
          <w:p w14:paraId="180F778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eastAsia" w:ascii="Times New Roman" w:eastAsia="宋体" w:cs="Times New Roman"/>
                <w:sz w:val="24"/>
                <w:lang w:val="en-US" w:eastAsia="zh-CN"/>
              </w:rPr>
              <w:t>5</w:t>
            </w:r>
            <w:r>
              <w:rPr>
                <w:rFonts w:hint="default" w:ascii="Times New Roman" w:hAnsi="Times New Roman" w:eastAsia="宋体" w:cs="Times New Roman"/>
                <w:sz w:val="24"/>
              </w:rPr>
              <w:t>年</w:t>
            </w:r>
          </w:p>
        </w:tc>
      </w:tr>
      <w:tr w14:paraId="7A2F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48" w:type="dxa"/>
            <w:vAlign w:val="center"/>
          </w:tcPr>
          <w:p w14:paraId="74886F41">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1877" w:type="dxa"/>
            <w:vAlign w:val="center"/>
          </w:tcPr>
          <w:p w14:paraId="1336315D">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早籼稻谷</w:t>
            </w:r>
          </w:p>
        </w:tc>
        <w:tc>
          <w:tcPr>
            <w:tcW w:w="1522" w:type="dxa"/>
            <w:vAlign w:val="center"/>
          </w:tcPr>
          <w:p w14:paraId="7BB553AA">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819" w:type="dxa"/>
            <w:vAlign w:val="center"/>
          </w:tcPr>
          <w:p w14:paraId="1C5535F5">
            <w:pPr>
              <w:pStyle w:val="3"/>
              <w:keepNext w:val="0"/>
              <w:keepLines w:val="0"/>
              <w:pageBreakBefore w:val="0"/>
              <w:widowControl w:val="0"/>
              <w:kinsoku/>
              <w:wordWrap/>
              <w:overflowPunct/>
              <w:topLinePunct w:val="0"/>
              <w:bidi w:val="0"/>
              <w:snapToGrid/>
              <w:spacing w:line="360" w:lineRule="exact"/>
              <w:ind w:left="0" w:leftChars="0" w:firstLine="0" w:firstLineChars="0"/>
              <w:jc w:val="center"/>
              <w:textAlignment w:val="auto"/>
              <w:rPr>
                <w:rFonts w:hint="eastAsia" w:ascii="Times New Roman" w:hAnsi="Times New Roman" w:eastAsia="宋体" w:cs="Times New Roman"/>
                <w:sz w:val="24"/>
                <w:lang w:eastAsia="zh-CN"/>
              </w:rPr>
            </w:pPr>
            <w:r>
              <w:rPr>
                <w:rFonts w:hint="eastAsia" w:ascii="宋体" w:hAnsi="宋体" w:eastAsia="宋体"/>
                <w:color w:val="auto"/>
                <w:sz w:val="24"/>
                <w:highlight w:val="none"/>
                <w:shd w:val="clear" w:color="auto" w:fill="auto"/>
                <w:lang w:val="en-US" w:eastAsia="zh-CN"/>
              </w:rPr>
              <w:t xml:space="preserve">XXXX </w:t>
            </w:r>
            <w:r>
              <w:rPr>
                <w:rFonts w:hint="eastAsia" w:ascii="Times New Roman" w:eastAsia="宋体" w:cs="Times New Roman"/>
                <w:sz w:val="24"/>
                <w:lang w:eastAsia="zh-CN"/>
              </w:rPr>
              <w:t>吨</w:t>
            </w:r>
          </w:p>
        </w:tc>
      </w:tr>
      <w:tr w14:paraId="3E0B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vAlign w:val="center"/>
          </w:tcPr>
          <w:p w14:paraId="4289A0F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1877" w:type="dxa"/>
            <w:vAlign w:val="center"/>
          </w:tcPr>
          <w:p w14:paraId="01D92BDF">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三级</w:t>
            </w:r>
          </w:p>
        </w:tc>
        <w:tc>
          <w:tcPr>
            <w:tcW w:w="1522" w:type="dxa"/>
            <w:vAlign w:val="center"/>
          </w:tcPr>
          <w:p w14:paraId="4DF6DFF8">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819" w:type="dxa"/>
            <w:vAlign w:val="center"/>
          </w:tcPr>
          <w:p w14:paraId="0438090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eastAsia" w:ascii="Times New Roman" w:hAnsi="Times New Roman" w:eastAsia="宋体" w:cs="Times New Roman"/>
                <w:sz w:val="24"/>
                <w:lang w:val="en-US" w:eastAsia="zh-CN"/>
              </w:rPr>
            </w:pPr>
            <w:r>
              <w:rPr>
                <w:rFonts w:hint="eastAsia" w:ascii="宋体" w:hAnsi="宋体" w:eastAsia="宋体"/>
                <w:color w:val="auto"/>
                <w:sz w:val="24"/>
                <w:highlight w:val="none"/>
                <w:shd w:val="clear" w:color="auto" w:fill="auto"/>
                <w:lang w:val="en-US" w:eastAsia="zh-CN"/>
              </w:rPr>
              <w:t xml:space="preserve">XXXX </w:t>
            </w:r>
            <w:r>
              <w:rPr>
                <w:rFonts w:hint="eastAsia" w:ascii="Times New Roman" w:eastAsia="宋体" w:cs="Times New Roman"/>
                <w:sz w:val="24"/>
                <w:lang w:eastAsia="zh-CN"/>
              </w:rPr>
              <w:t>元</w:t>
            </w:r>
            <w:r>
              <w:rPr>
                <w:rFonts w:hint="eastAsia" w:ascii="Times New Roman" w:eastAsia="宋体" w:cs="Times New Roman"/>
                <w:sz w:val="24"/>
                <w:lang w:val="en-US" w:eastAsia="zh-CN"/>
              </w:rPr>
              <w:t>/吨</w:t>
            </w:r>
          </w:p>
        </w:tc>
      </w:tr>
      <w:tr w14:paraId="28E6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vAlign w:val="center"/>
          </w:tcPr>
          <w:p w14:paraId="43035A7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1877" w:type="dxa"/>
            <w:vAlign w:val="center"/>
          </w:tcPr>
          <w:p w14:paraId="345023FB">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广东、江西</w:t>
            </w:r>
          </w:p>
        </w:tc>
        <w:tc>
          <w:tcPr>
            <w:tcW w:w="1522" w:type="dxa"/>
            <w:vAlign w:val="center"/>
          </w:tcPr>
          <w:p w14:paraId="1E9E8073">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3819" w:type="dxa"/>
            <w:vAlign w:val="center"/>
          </w:tcPr>
          <w:p w14:paraId="5C3624EE">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eastAsia" w:ascii="Times New Roman" w:hAnsi="Times New Roman" w:eastAsia="宋体" w:cs="Times New Roman"/>
                <w:sz w:val="24"/>
                <w:lang w:eastAsia="zh-CN"/>
              </w:rPr>
            </w:pPr>
            <w:r>
              <w:rPr>
                <w:rFonts w:hint="eastAsia" w:ascii="宋体" w:hAnsi="宋体" w:eastAsia="宋体"/>
                <w:color w:val="auto"/>
                <w:sz w:val="24"/>
                <w:highlight w:val="none"/>
                <w:shd w:val="clear" w:color="auto" w:fill="auto"/>
                <w:lang w:val="en-US" w:eastAsia="zh-CN"/>
              </w:rPr>
              <w:t>XXXX</w:t>
            </w:r>
            <w:r>
              <w:rPr>
                <w:rFonts w:hint="eastAsia" w:ascii="Times New Roman" w:eastAsia="宋体" w:cs="Times New Roman"/>
                <w:sz w:val="24"/>
                <w:lang w:val="en-US" w:eastAsia="zh-CN"/>
              </w:rPr>
              <w:t xml:space="preserve"> </w:t>
            </w:r>
            <w:r>
              <w:rPr>
                <w:rFonts w:hint="eastAsia" w:ascii="Times New Roman" w:eastAsia="宋体" w:cs="Times New Roman"/>
                <w:sz w:val="24"/>
                <w:lang w:eastAsia="zh-CN"/>
              </w:rPr>
              <w:t>元</w:t>
            </w:r>
          </w:p>
        </w:tc>
      </w:tr>
      <w:bookmarkEnd w:id="0"/>
      <w:tr w14:paraId="21A0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vAlign w:val="center"/>
          </w:tcPr>
          <w:p w14:paraId="54CDA792">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7218" w:type="dxa"/>
            <w:gridSpan w:val="3"/>
            <w:vAlign w:val="center"/>
          </w:tcPr>
          <w:p w14:paraId="225FD924">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eastAsia" w:ascii="Times New Roman" w:hAnsi="Times New Roman" w:eastAsia="宋体" w:cs="Times New Roman"/>
                <w:sz w:val="24"/>
                <w:lang w:val="en-US" w:eastAsia="zh-CN"/>
              </w:rPr>
            </w:pPr>
            <w:r>
              <w:rPr>
                <w:rFonts w:hint="eastAsia" w:ascii="宋体" w:hAnsi="宋体" w:eastAsia="宋体" w:cs="宋体"/>
                <w:color w:val="auto"/>
                <w:sz w:val="24"/>
                <w:shd w:val="clear" w:color="auto" w:fill="auto"/>
              </w:rPr>
              <w:t>仓内堆好耙平验收后交货</w:t>
            </w:r>
            <w:r>
              <w:rPr>
                <w:rFonts w:hint="eastAsia" w:ascii="宋体" w:hAnsi="宋体" w:eastAsia="宋体" w:cs="宋体"/>
                <w:color w:val="auto"/>
                <w:sz w:val="24"/>
                <w:shd w:val="clear" w:color="auto" w:fill="auto"/>
                <w:lang w:eastAsia="zh-CN"/>
              </w:rPr>
              <w:t>。</w:t>
            </w:r>
          </w:p>
        </w:tc>
      </w:tr>
      <w:tr w14:paraId="640D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vAlign w:val="center"/>
          </w:tcPr>
          <w:p w14:paraId="4EC7E364">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7218" w:type="dxa"/>
            <w:gridSpan w:val="3"/>
            <w:vAlign w:val="center"/>
          </w:tcPr>
          <w:p w14:paraId="51389403">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eastAsia" w:ascii="宋体" w:hAnsi="宋体" w:eastAsia="宋体" w:cs="宋体"/>
                <w:color w:val="auto"/>
                <w:sz w:val="24"/>
                <w:highlight w:val="none"/>
                <w:shd w:val="clear" w:color="auto" w:fill="auto"/>
                <w:lang w:val="en-US" w:eastAsia="zh-CN"/>
              </w:rPr>
              <w:t>2025</w:t>
            </w:r>
            <w:r>
              <w:rPr>
                <w:rFonts w:hint="eastAsia" w:ascii="宋体" w:hAnsi="宋体" w:eastAsia="宋体" w:cs="宋体"/>
                <w:color w:val="auto"/>
                <w:sz w:val="24"/>
                <w:highlight w:val="none"/>
                <w:shd w:val="clear" w:color="auto" w:fill="auto"/>
              </w:rPr>
              <w:t>年</w:t>
            </w:r>
            <w:r>
              <w:rPr>
                <w:rFonts w:hint="eastAsia" w:ascii="宋体" w:hAnsi="宋体" w:eastAsia="宋体"/>
                <w:color w:val="auto"/>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月</w:t>
            </w:r>
            <w:r>
              <w:rPr>
                <w:rFonts w:hint="eastAsia" w:ascii="宋体" w:hAnsi="宋体" w:eastAsia="宋体"/>
                <w:color w:val="auto"/>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日</w:t>
            </w:r>
            <w:r>
              <w:rPr>
                <w:rFonts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eastAsia="zh-CN"/>
              </w:rPr>
              <w:t>2025</w:t>
            </w:r>
            <w:r>
              <w:rPr>
                <w:rFonts w:hint="eastAsia" w:ascii="宋体" w:hAnsi="宋体" w:eastAsia="宋体" w:cs="宋体"/>
                <w:color w:val="auto"/>
                <w:sz w:val="24"/>
                <w:highlight w:val="none"/>
                <w:shd w:val="clear" w:color="auto" w:fill="auto"/>
              </w:rPr>
              <w:t>年</w:t>
            </w:r>
            <w:r>
              <w:rPr>
                <w:rFonts w:hint="eastAsia" w:ascii="宋体" w:hAnsi="宋体" w:eastAsia="宋体"/>
                <w:color w:val="auto"/>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月</w:t>
            </w:r>
            <w:r>
              <w:rPr>
                <w:rFonts w:hint="eastAsia" w:ascii="宋体" w:hAnsi="宋体" w:eastAsia="宋体"/>
                <w:color w:val="auto"/>
                <w:sz w:val="24"/>
                <w:highlight w:val="none"/>
                <w:shd w:val="clear" w:color="auto" w:fill="auto"/>
                <w:lang w:val="en-US" w:eastAsia="zh-CN"/>
              </w:rPr>
              <w:t>XX</w:t>
            </w:r>
            <w:r>
              <w:rPr>
                <w:rFonts w:hint="eastAsia" w:ascii="宋体" w:hAnsi="宋体" w:eastAsia="宋体" w:cs="宋体"/>
                <w:color w:val="auto"/>
                <w:sz w:val="24"/>
                <w:highlight w:val="none"/>
                <w:shd w:val="clear" w:color="auto" w:fill="auto"/>
              </w:rPr>
              <w:t>日</w:t>
            </w:r>
          </w:p>
        </w:tc>
      </w:tr>
      <w:tr w14:paraId="77C2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48" w:type="dxa"/>
            <w:vAlign w:val="center"/>
          </w:tcPr>
          <w:p w14:paraId="2DFC060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7218" w:type="dxa"/>
            <w:gridSpan w:val="3"/>
            <w:vAlign w:val="center"/>
          </w:tcPr>
          <w:p w14:paraId="2A8CB3E0">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lang w:eastAsia="zh-CN"/>
              </w:rPr>
            </w:pPr>
            <w:r>
              <w:rPr>
                <w:rFonts w:hint="eastAsia" w:ascii="Times New Roman" w:eastAsia="宋体" w:cs="Times New Roman"/>
                <w:sz w:val="24"/>
                <w:lang w:val="en-US" w:eastAsia="zh-CN"/>
              </w:rPr>
              <w:t>华城粮库0P1仓（0P1-3）、0P2仓（0P2-2、0P2-4）</w:t>
            </w:r>
          </w:p>
        </w:tc>
      </w:tr>
      <w:tr w14:paraId="1F0B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48" w:type="dxa"/>
            <w:vAlign w:val="center"/>
          </w:tcPr>
          <w:p w14:paraId="2266989D">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包装要求</w:t>
            </w:r>
          </w:p>
        </w:tc>
        <w:tc>
          <w:tcPr>
            <w:tcW w:w="7218" w:type="dxa"/>
            <w:gridSpan w:val="3"/>
            <w:vAlign w:val="center"/>
          </w:tcPr>
          <w:p w14:paraId="083C57F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1FB2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448" w:type="dxa"/>
            <w:vAlign w:val="center"/>
          </w:tcPr>
          <w:p w14:paraId="65EA833A">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质量标准</w:t>
            </w:r>
          </w:p>
        </w:tc>
        <w:tc>
          <w:tcPr>
            <w:tcW w:w="7218" w:type="dxa"/>
            <w:gridSpan w:val="3"/>
            <w:vAlign w:val="center"/>
          </w:tcPr>
          <w:p w14:paraId="44226C18">
            <w:pPr>
              <w:pStyle w:val="3"/>
              <w:keepNext w:val="0"/>
              <w:keepLines w:val="0"/>
              <w:pageBreakBefore w:val="0"/>
              <w:widowControl w:val="0"/>
              <w:kinsoku/>
              <w:wordWrap/>
              <w:overflowPunct/>
              <w:topLinePunct w:val="0"/>
              <w:bidi w:val="0"/>
              <w:snapToGrid/>
              <w:spacing w:line="360" w:lineRule="exact"/>
              <w:ind w:firstLine="0" w:firstLineChars="0"/>
              <w:textAlignment w:val="auto"/>
              <w:rPr>
                <w:rFonts w:hint="eastAsia" w:ascii="Times New Roman" w:hAnsi="Times New Roman" w:eastAsia="宋体" w:cs="Times New Roman"/>
                <w:sz w:val="24"/>
                <w:lang w:eastAsia="zh-CN"/>
              </w:rPr>
            </w:pPr>
            <w:r>
              <w:rPr>
                <w:rFonts w:hint="default" w:ascii="Times New Roman" w:hAnsi="Times New Roman" w:eastAsia="宋体" w:cs="Times New Roman"/>
                <w:sz w:val="24"/>
              </w:rPr>
              <w:t>执行GB1350-2009早籼三级稻谷（含三级）以上标准，质量检测主要指标达到：出糙率≥75</w:t>
            </w:r>
            <w:r>
              <w:rPr>
                <w:rFonts w:hint="eastAsia" w:ascii="Times New Roman" w:eastAsia="宋体" w:cs="Times New Roman"/>
                <w:sz w:val="24"/>
                <w:lang w:val="en-US" w:eastAsia="zh-CN"/>
              </w:rPr>
              <w:t>.0</w:t>
            </w:r>
            <w:r>
              <w:rPr>
                <w:rFonts w:hint="default" w:ascii="Times New Roman" w:hAnsi="Times New Roman" w:eastAsia="宋体" w:cs="Times New Roman"/>
                <w:sz w:val="24"/>
              </w:rPr>
              <w:t>%，整精米率≥44</w:t>
            </w:r>
            <w:r>
              <w:rPr>
                <w:rFonts w:hint="eastAsia" w:ascii="Times New Roman" w:eastAsia="宋体" w:cs="Times New Roman"/>
                <w:sz w:val="24"/>
                <w:lang w:val="en-US" w:eastAsia="zh-CN"/>
              </w:rPr>
              <w:t>.0</w:t>
            </w:r>
            <w:r>
              <w:rPr>
                <w:rFonts w:hint="default" w:ascii="Times New Roman" w:hAnsi="Times New Roman" w:eastAsia="宋体" w:cs="Times New Roman"/>
                <w:sz w:val="24"/>
              </w:rPr>
              <w:t>%，杂质≤1</w:t>
            </w:r>
            <w:r>
              <w:rPr>
                <w:rFonts w:hint="eastAsia" w:ascii="Times New Roman" w:eastAsia="宋体" w:cs="Times New Roman"/>
                <w:sz w:val="24"/>
                <w:lang w:val="en-US" w:eastAsia="zh-CN"/>
              </w:rPr>
              <w:t xml:space="preserve">.0 </w:t>
            </w:r>
            <w:r>
              <w:rPr>
                <w:rFonts w:hint="default" w:ascii="Times New Roman" w:hAnsi="Times New Roman" w:eastAsia="宋体" w:cs="Times New Roman"/>
                <w:sz w:val="24"/>
              </w:rPr>
              <w:t>%，水分≤13.5%，黄粒米≤1</w:t>
            </w:r>
            <w:r>
              <w:rPr>
                <w:rFonts w:hint="eastAsia" w:ascii="Times New Roman" w:eastAsia="宋体" w:cs="Times New Roman"/>
                <w:sz w:val="24"/>
                <w:lang w:val="en-US" w:eastAsia="zh-CN"/>
              </w:rPr>
              <w:t xml:space="preserve">.0 </w:t>
            </w:r>
            <w:r>
              <w:rPr>
                <w:rFonts w:hint="default" w:ascii="Times New Roman" w:hAnsi="Times New Roman" w:eastAsia="宋体" w:cs="Times New Roman"/>
                <w:sz w:val="24"/>
              </w:rPr>
              <w:t>%，谷外糙米≤2</w:t>
            </w:r>
            <w:r>
              <w:rPr>
                <w:rFonts w:hint="eastAsia" w:ascii="Times New Roman" w:eastAsia="宋体" w:cs="Times New Roman"/>
                <w:sz w:val="24"/>
                <w:lang w:val="en-US" w:eastAsia="zh-CN"/>
              </w:rPr>
              <w:t>.0</w:t>
            </w:r>
            <w:r>
              <w:rPr>
                <w:rFonts w:hint="default" w:ascii="Times New Roman" w:hAnsi="Times New Roman" w:eastAsia="宋体" w:cs="Times New Roman"/>
                <w:sz w:val="24"/>
              </w:rPr>
              <w:t>%，互混率≤5</w:t>
            </w:r>
            <w:r>
              <w:rPr>
                <w:rFonts w:hint="eastAsia" w:ascii="Times New Roman" w:eastAsia="宋体" w:cs="Times New Roman"/>
                <w:sz w:val="24"/>
                <w:lang w:val="en-US" w:eastAsia="zh-CN"/>
              </w:rPr>
              <w:t>.0</w:t>
            </w:r>
            <w:r>
              <w:rPr>
                <w:rFonts w:hint="default" w:ascii="Times New Roman" w:hAnsi="Times New Roman" w:eastAsia="宋体" w:cs="Times New Roman"/>
                <w:sz w:val="24"/>
              </w:rPr>
              <w:t>%，脂肪酸值≤</w:t>
            </w:r>
            <w:r>
              <w:rPr>
                <w:rFonts w:hint="eastAsia" w:ascii="Times New Roman" w:eastAsia="宋体" w:cs="Times New Roman"/>
                <w:sz w:val="24"/>
                <w:lang w:val="en-US" w:eastAsia="zh-CN"/>
              </w:rPr>
              <w:t>19.5</w:t>
            </w:r>
            <w:r>
              <w:rPr>
                <w:rFonts w:hint="default" w:ascii="Times New Roman" w:hAnsi="Times New Roman" w:eastAsia="宋体" w:cs="Times New Roman"/>
                <w:sz w:val="24"/>
              </w:rPr>
              <w:t>mgKOH/100g，色泽气味正常，无虫害，符合国家粮食卫生标准</w:t>
            </w:r>
            <w:r>
              <w:rPr>
                <w:rFonts w:hint="eastAsia" w:ascii="Times New Roman" w:eastAsia="宋体" w:cs="Times New Roman"/>
                <w:sz w:val="24"/>
                <w:lang w:eastAsia="zh-CN"/>
              </w:rPr>
              <w:t>，其中</w:t>
            </w:r>
            <w:r>
              <w:rPr>
                <w:rFonts w:hint="default" w:ascii="Times New Roman" w:hAnsi="Times New Roman" w:eastAsia="宋体" w:cs="Times New Roman"/>
                <w:sz w:val="24"/>
              </w:rPr>
              <w:t>镉≤0.2mg/kg。</w:t>
            </w:r>
            <w:r>
              <w:rPr>
                <w:rFonts w:hint="eastAsia" w:ascii="Times New Roman" w:eastAsia="宋体" w:cs="Times New Roman"/>
                <w:sz w:val="24"/>
                <w:lang w:eastAsia="zh-CN"/>
              </w:rPr>
              <w:t>拒收泥谷、水浸谷、生芽谷。</w:t>
            </w:r>
          </w:p>
        </w:tc>
      </w:tr>
    </w:tbl>
    <w:p w14:paraId="48D45A50">
      <w:pPr>
        <w:ind w:firstLine="482" w:firstLineChars="200"/>
        <w:jc w:val="left"/>
        <w:rPr>
          <w:rFonts w:hint="eastAsia" w:ascii="宋体" w:hAnsi="宋体" w:eastAsia="宋体" w:cs="宋体"/>
          <w:sz w:val="24"/>
          <w:szCs w:val="24"/>
        </w:rPr>
      </w:pPr>
      <w:r>
        <w:rPr>
          <w:rFonts w:hint="eastAsia" w:ascii="宋体" w:hAnsi="宋体" w:cs="宋体"/>
          <w:b/>
          <w:bCs/>
          <w:sz w:val="24"/>
          <w:lang w:eastAsia="zh-CN"/>
        </w:rPr>
        <w:t>二、</w:t>
      </w:r>
      <w:r>
        <w:rPr>
          <w:rFonts w:hint="eastAsia" w:ascii="宋体" w:hAnsi="宋体" w:eastAsia="宋体" w:cs="宋体"/>
          <w:b/>
          <w:bCs/>
          <w:sz w:val="24"/>
        </w:rPr>
        <w:t>验收方式：</w:t>
      </w:r>
      <w:r>
        <w:rPr>
          <w:rFonts w:hint="eastAsia" w:ascii="宋体" w:hAnsi="宋体" w:eastAsia="宋体" w:cs="宋体"/>
          <w:sz w:val="24"/>
        </w:rPr>
        <w:t>买方按国标规定的粮食检验办法和操作规程</w:t>
      </w:r>
      <w:r>
        <w:rPr>
          <w:rFonts w:hint="eastAsia" w:ascii="宋体" w:hAnsi="宋体" w:eastAsia="宋体" w:cs="宋体"/>
          <w:sz w:val="24"/>
          <w:lang w:eastAsia="zh-CN"/>
        </w:rPr>
        <w:t>对每车入库稻谷进行初验，如初验不</w:t>
      </w:r>
      <w:r>
        <w:rPr>
          <w:rFonts w:hint="eastAsia" w:ascii="宋体" w:hAnsi="宋体" w:eastAsia="宋体" w:cs="宋体"/>
          <w:sz w:val="24"/>
        </w:rPr>
        <w:t>符合本合同约定质量标准</w:t>
      </w:r>
      <w:r>
        <w:rPr>
          <w:rFonts w:hint="eastAsia" w:ascii="宋体" w:hAnsi="宋体" w:eastAsia="宋体" w:cs="宋体"/>
          <w:sz w:val="24"/>
          <w:lang w:eastAsia="zh-CN"/>
        </w:rPr>
        <w:t>或发现混有其他生产年份的稻谷，</w:t>
      </w:r>
      <w:r>
        <w:rPr>
          <w:rFonts w:hint="eastAsia" w:ascii="宋体" w:hAnsi="宋体" w:eastAsia="宋体" w:cs="宋体"/>
          <w:sz w:val="24"/>
        </w:rPr>
        <w:t>买方有权不予接收，货物由卖方自行处理，</w:t>
      </w:r>
      <w:r>
        <w:rPr>
          <w:rFonts w:hint="eastAsia" w:ascii="宋体" w:hAnsi="宋体" w:eastAsia="宋体" w:cs="宋体"/>
          <w:sz w:val="24"/>
          <w:lang w:eastAsia="zh-CN"/>
        </w:rPr>
        <w:t>并</w:t>
      </w:r>
      <w:r>
        <w:rPr>
          <w:rFonts w:hint="eastAsia" w:ascii="宋体" w:hAnsi="宋体" w:eastAsia="宋体" w:cs="宋体"/>
          <w:sz w:val="24"/>
        </w:rPr>
        <w:t>承担</w:t>
      </w:r>
      <w:r>
        <w:rPr>
          <w:rFonts w:hint="eastAsia" w:ascii="宋体" w:hAnsi="宋体" w:eastAsia="宋体" w:cs="宋体"/>
          <w:sz w:val="24"/>
          <w:lang w:eastAsia="zh-CN"/>
        </w:rPr>
        <w:t>所发生的费用。初验合格后以</w:t>
      </w:r>
      <w:r>
        <w:rPr>
          <w:rFonts w:hint="eastAsia" w:ascii="宋体" w:hAnsi="宋体" w:eastAsia="宋体" w:cs="宋体"/>
          <w:sz w:val="24"/>
        </w:rPr>
        <w:t>技术监督部门检验合格的</w:t>
      </w:r>
      <w:r>
        <w:rPr>
          <w:rFonts w:hint="eastAsia" w:ascii="宋体" w:hAnsi="宋体" w:eastAsia="宋体" w:cs="宋体"/>
          <w:sz w:val="24"/>
          <w:lang w:eastAsia="zh-CN"/>
        </w:rPr>
        <w:t>计量工具</w:t>
      </w:r>
      <w:r>
        <w:rPr>
          <w:rFonts w:hint="eastAsia" w:ascii="宋体" w:hAnsi="宋体" w:eastAsia="宋体" w:cs="宋体"/>
          <w:sz w:val="24"/>
        </w:rPr>
        <w:t>进行</w:t>
      </w:r>
      <w:r>
        <w:rPr>
          <w:rFonts w:hint="eastAsia" w:ascii="宋体" w:hAnsi="宋体" w:eastAsia="宋体" w:cs="宋体"/>
          <w:sz w:val="24"/>
          <w:lang w:eastAsia="zh-CN"/>
        </w:rPr>
        <w:t>验斤入库，</w:t>
      </w:r>
      <w:r>
        <w:rPr>
          <w:rFonts w:hint="eastAsia" w:ascii="宋体" w:hAnsi="宋体" w:eastAsia="宋体" w:cs="宋体"/>
          <w:kern w:val="0"/>
          <w:sz w:val="24"/>
        </w:rPr>
        <w:t>粮食运到指定仓库除杂进仓，杂质回皮，</w:t>
      </w:r>
      <w:r>
        <w:rPr>
          <w:rFonts w:hint="eastAsia" w:ascii="宋体" w:hAnsi="宋体" w:eastAsia="宋体" w:cs="宋体"/>
          <w:sz w:val="24"/>
        </w:rPr>
        <w:t>按过磅数量</w:t>
      </w:r>
      <w:r>
        <w:rPr>
          <w:rFonts w:hint="eastAsia" w:ascii="宋体" w:hAnsi="宋体" w:eastAsia="宋体" w:cs="宋体"/>
          <w:sz w:val="24"/>
          <w:lang w:eastAsia="zh-CN"/>
        </w:rPr>
        <w:t>验收，</w:t>
      </w:r>
      <w:r>
        <w:rPr>
          <w:rFonts w:hint="eastAsia" w:ascii="宋体" w:hAnsi="宋体" w:eastAsia="宋体" w:cs="宋体"/>
          <w:kern w:val="0"/>
          <w:sz w:val="24"/>
        </w:rPr>
        <w:t>双方工作人员确认并在过磅单上签名</w:t>
      </w:r>
      <w:r>
        <w:rPr>
          <w:rFonts w:hint="eastAsia" w:ascii="宋体" w:hAnsi="宋体" w:eastAsia="宋体" w:cs="宋体"/>
          <w:kern w:val="0"/>
          <w:sz w:val="24"/>
          <w:lang w:eastAsia="zh-CN"/>
        </w:rPr>
        <w:t>，买方出具入库凭证给</w:t>
      </w:r>
      <w:r>
        <w:rPr>
          <w:rFonts w:hint="eastAsia" w:ascii="宋体" w:hAnsi="宋体" w:eastAsia="宋体" w:cs="宋体"/>
          <w:sz w:val="24"/>
          <w:lang w:eastAsia="zh-CN"/>
        </w:rPr>
        <w:t>卖方</w:t>
      </w:r>
      <w:r>
        <w:rPr>
          <w:rFonts w:hint="eastAsia" w:ascii="宋体" w:hAnsi="宋体" w:eastAsia="宋体" w:cs="宋体"/>
          <w:kern w:val="0"/>
          <w:sz w:val="24"/>
        </w:rPr>
        <w:t>。</w:t>
      </w:r>
      <w:r>
        <w:rPr>
          <w:rFonts w:hint="eastAsia" w:ascii="宋体" w:hAnsi="宋体" w:eastAsia="宋体" w:cs="宋体"/>
          <w:sz w:val="24"/>
          <w:lang w:eastAsia="zh-CN"/>
        </w:rPr>
        <w:t>严禁卖方将走私农产品流入国家粮食储备体系，一经发现将报有关部门对卖方作出严肃处理。卖方需向买方提供《</w:t>
      </w:r>
      <w:r>
        <w:rPr>
          <w:rFonts w:hint="eastAsia" w:ascii="宋体" w:hAnsi="宋体" w:eastAsia="宋体" w:cs="宋体"/>
          <w:sz w:val="24"/>
          <w:szCs w:val="24"/>
        </w:rPr>
        <w:t>稻谷质量安全信用承诺书</w:t>
      </w:r>
      <w:r>
        <w:rPr>
          <w:rFonts w:hint="eastAsia" w:ascii="宋体" w:hAnsi="宋体" w:eastAsia="宋体" w:cs="宋体"/>
          <w:sz w:val="24"/>
          <w:szCs w:val="24"/>
          <w:lang w:eastAsia="zh-CN"/>
        </w:rPr>
        <w:t>》。</w:t>
      </w:r>
    </w:p>
    <w:p w14:paraId="5A6684A6">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b/>
          <w:bCs/>
          <w:sz w:val="24"/>
          <w:lang w:eastAsia="zh-CN"/>
        </w:rPr>
        <w:t>三</w:t>
      </w:r>
      <w:r>
        <w:rPr>
          <w:rFonts w:hint="eastAsia" w:ascii="宋体" w:hAnsi="宋体" w:eastAsia="宋体" w:cs="宋体"/>
          <w:b/>
          <w:bCs/>
          <w:sz w:val="24"/>
        </w:rPr>
        <w:t>、费用承担：</w:t>
      </w:r>
      <w:r>
        <w:rPr>
          <w:rFonts w:hint="eastAsia" w:ascii="宋体" w:hAnsi="宋体" w:eastAsia="宋体" w:cs="宋体"/>
          <w:sz w:val="24"/>
        </w:rPr>
        <w:t>卖方承担交货前的一切费用，包括运费、搬运装卸、仓内平整粮面、交货短途费用、过磅费及验质费等。买方不承担任何费用。买方向卖方收取</w:t>
      </w:r>
      <w:r>
        <w:rPr>
          <w:rFonts w:hint="eastAsia" w:ascii="宋体" w:hAnsi="宋体" w:eastAsia="宋体" w:cs="宋体"/>
          <w:sz w:val="24"/>
          <w:lang w:val="en-US" w:eastAsia="zh-CN"/>
        </w:rPr>
        <w:t>15</w:t>
      </w:r>
      <w:r>
        <w:rPr>
          <w:rFonts w:hint="eastAsia" w:ascii="宋体" w:hAnsi="宋体" w:eastAsia="宋体" w:cs="宋体"/>
          <w:sz w:val="24"/>
        </w:rPr>
        <w:t>元/吨的入仓服务费（含过磅费、水电费、设备使用费等）。</w:t>
      </w:r>
    </w:p>
    <w:p w14:paraId="3329A98D">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sz w:val="24"/>
          <w:lang w:eastAsia="zh-CN"/>
        </w:rPr>
        <w:t>四</w:t>
      </w:r>
      <w:r>
        <w:rPr>
          <w:rFonts w:hint="eastAsia" w:ascii="宋体" w:hAnsi="宋体" w:eastAsia="宋体" w:cs="宋体"/>
          <w:b/>
          <w:bCs/>
          <w:sz w:val="24"/>
        </w:rPr>
        <w:t>、货款结算：</w:t>
      </w:r>
      <w:r>
        <w:rPr>
          <w:rFonts w:hint="eastAsia" w:ascii="宋体" w:hAnsi="宋体" w:eastAsia="宋体" w:cs="宋体"/>
          <w:color w:val="auto"/>
          <w:kern w:val="0"/>
          <w:sz w:val="24"/>
        </w:rPr>
        <w:t>粮食运到指定仓库并验收入库后，累计达500吨为结算起点，</w:t>
      </w:r>
      <w:r>
        <w:rPr>
          <w:rFonts w:hint="eastAsia" w:ascii="宋体" w:hAnsi="宋体" w:cs="宋体"/>
          <w:color w:val="auto"/>
          <w:kern w:val="0"/>
          <w:sz w:val="24"/>
          <w:lang w:eastAsia="zh-CN"/>
        </w:rPr>
        <w:t>完成首次入库</w:t>
      </w:r>
      <w:r>
        <w:rPr>
          <w:rFonts w:hint="eastAsia" w:ascii="宋体" w:hAnsi="宋体" w:eastAsia="宋体" w:cs="宋体"/>
          <w:color w:val="auto"/>
          <w:kern w:val="0"/>
          <w:sz w:val="24"/>
        </w:rPr>
        <w:t>结算后</w:t>
      </w:r>
      <w:r>
        <w:rPr>
          <w:rFonts w:hint="eastAsia" w:ascii="宋体" w:hAnsi="宋体" w:cs="宋体"/>
          <w:color w:val="auto"/>
          <w:kern w:val="0"/>
          <w:sz w:val="24"/>
          <w:lang w:eastAsia="zh-CN"/>
        </w:rPr>
        <w:t>，每</w:t>
      </w:r>
      <w:r>
        <w:rPr>
          <w:rFonts w:hint="eastAsia" w:ascii="宋体" w:hAnsi="宋体" w:eastAsia="宋体" w:cs="宋体"/>
          <w:color w:val="auto"/>
          <w:kern w:val="0"/>
          <w:sz w:val="24"/>
          <w:lang w:eastAsia="zh-CN"/>
        </w:rPr>
        <w:t>按</w:t>
      </w:r>
      <w:r>
        <w:rPr>
          <w:rFonts w:hint="eastAsia" w:ascii="宋体" w:hAnsi="宋体" w:cs="宋体"/>
          <w:color w:val="auto"/>
          <w:kern w:val="0"/>
          <w:sz w:val="24"/>
          <w:lang w:val="en-US" w:eastAsia="zh-CN"/>
        </w:rPr>
        <w:t>300吨</w:t>
      </w:r>
      <w:r>
        <w:rPr>
          <w:rFonts w:hint="eastAsia" w:ascii="宋体" w:hAnsi="宋体" w:eastAsia="宋体" w:cs="宋体"/>
          <w:color w:val="auto"/>
          <w:kern w:val="0"/>
          <w:sz w:val="24"/>
        </w:rPr>
        <w:t>起</w:t>
      </w:r>
      <w:r>
        <w:rPr>
          <w:rFonts w:hint="eastAsia" w:ascii="宋体" w:hAnsi="宋体" w:cs="宋体"/>
          <w:color w:val="auto"/>
          <w:kern w:val="0"/>
          <w:sz w:val="24"/>
          <w:lang w:eastAsia="zh-CN"/>
        </w:rPr>
        <w:t>算进行</w:t>
      </w:r>
      <w:r>
        <w:rPr>
          <w:rFonts w:hint="eastAsia" w:ascii="宋体" w:hAnsi="宋体" w:eastAsia="宋体" w:cs="宋体"/>
          <w:color w:val="auto"/>
          <w:kern w:val="0"/>
          <w:sz w:val="24"/>
        </w:rPr>
        <w:t>结算</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粮食入库任务完成付总货款额80%，剩余20%待第三方质量检验合格并出具检验报告，卖方提交有效发票后</w:t>
      </w:r>
      <w:r>
        <w:rPr>
          <w:rFonts w:hint="eastAsia" w:ascii="宋体" w:hAnsi="宋体" w:eastAsia="宋体" w:cs="宋体"/>
          <w:color w:val="auto"/>
          <w:kern w:val="0"/>
          <w:sz w:val="24"/>
          <w:lang w:val="en-US" w:eastAsia="zh-CN"/>
        </w:rPr>
        <w:t>5个工作日内</w:t>
      </w:r>
      <w:r>
        <w:rPr>
          <w:rFonts w:hint="eastAsia" w:ascii="宋体" w:hAnsi="宋体" w:eastAsia="宋体" w:cs="宋体"/>
          <w:color w:val="auto"/>
          <w:kern w:val="0"/>
          <w:sz w:val="24"/>
        </w:rPr>
        <w:t>付清。</w:t>
      </w:r>
    </w:p>
    <w:p w14:paraId="2F54F960">
      <w:pPr>
        <w:pStyle w:val="4"/>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lang w:eastAsia="zh-CN"/>
        </w:rPr>
      </w:pPr>
      <w:r>
        <w:rPr>
          <w:rFonts w:hint="eastAsia" w:ascii="宋体" w:hAnsi="宋体" w:eastAsia="宋体" w:cs="宋体"/>
          <w:b/>
          <w:bCs/>
          <w:lang w:eastAsia="zh-CN"/>
        </w:rPr>
        <w:t>五</w:t>
      </w:r>
      <w:r>
        <w:rPr>
          <w:rFonts w:hint="eastAsia" w:ascii="宋体" w:hAnsi="宋体" w:eastAsia="宋体" w:cs="宋体"/>
          <w:b/>
          <w:bCs/>
        </w:rPr>
        <w:t>、结算凭证：</w:t>
      </w:r>
      <w:r>
        <w:rPr>
          <w:rFonts w:hint="eastAsia" w:ascii="宋体" w:hAnsi="宋体" w:eastAsia="宋体" w:cs="宋体"/>
        </w:rPr>
        <w:t>卖方提供本单位开出的有效货物销售增值税发票或粮食销售统一发票。</w:t>
      </w:r>
    </w:p>
    <w:p w14:paraId="21329A41">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b/>
          <w:bCs/>
          <w:sz w:val="24"/>
        </w:rPr>
      </w:pPr>
      <w:r>
        <w:rPr>
          <w:rFonts w:hint="eastAsia" w:ascii="宋体" w:hAnsi="宋体" w:eastAsia="宋体" w:cs="宋体"/>
          <w:b/>
          <w:bCs/>
          <w:sz w:val="24"/>
          <w:lang w:eastAsia="zh-CN"/>
        </w:rPr>
        <w:t>六</w:t>
      </w:r>
      <w:r>
        <w:rPr>
          <w:rFonts w:hint="eastAsia" w:ascii="宋体" w:hAnsi="宋体" w:eastAsia="宋体" w:cs="宋体"/>
          <w:b/>
          <w:bCs/>
          <w:sz w:val="24"/>
        </w:rPr>
        <w:t>、其他事项：</w:t>
      </w:r>
    </w:p>
    <w:p w14:paraId="61737B92">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卖方必须提供产粮地的有效质检</w:t>
      </w:r>
      <w:r>
        <w:rPr>
          <w:rFonts w:hint="eastAsia" w:ascii="宋体" w:hAnsi="宋体" w:eastAsia="宋体" w:cs="宋体"/>
          <w:sz w:val="24"/>
          <w:lang w:eastAsia="zh-CN"/>
        </w:rPr>
        <w:t>报告</w:t>
      </w:r>
      <w:r>
        <w:rPr>
          <w:rFonts w:hint="eastAsia" w:ascii="宋体" w:hAnsi="宋体" w:eastAsia="宋体" w:cs="宋体"/>
          <w:sz w:val="24"/>
        </w:rPr>
        <w:t>。</w:t>
      </w:r>
    </w:p>
    <w:p w14:paraId="5EC95EA9">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卖方发货数量（车数）服从买方安排，如卖方不服从买方安排，买方有权推迟给付标的货款。</w:t>
      </w:r>
    </w:p>
    <w:p w14:paraId="249B5E02">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入库期间工作时间安排：上午8点至11点45分，下午14点至18点，法定节假日及周六日可以入库。</w:t>
      </w:r>
    </w:p>
    <w:p w14:paraId="2EA8886E">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入库结束后由买方委托有质量检验资质的第三方进行现场扦样并检验</w:t>
      </w:r>
      <w:r>
        <w:rPr>
          <w:rFonts w:hint="eastAsia" w:ascii="宋体" w:hAnsi="宋体" w:eastAsia="宋体" w:cs="宋体"/>
          <w:kern w:val="0"/>
          <w:sz w:val="24"/>
        </w:rPr>
        <w:t>，质量认定以</w:t>
      </w:r>
      <w:r>
        <w:rPr>
          <w:rFonts w:hint="eastAsia" w:ascii="宋体" w:hAnsi="宋体" w:eastAsia="宋体" w:cs="宋体"/>
          <w:sz w:val="24"/>
        </w:rPr>
        <w:t>有质量检验资质的第三方</w:t>
      </w:r>
      <w:r>
        <w:rPr>
          <w:rFonts w:hint="eastAsia" w:ascii="宋体" w:hAnsi="宋体" w:eastAsia="宋体" w:cs="宋体"/>
          <w:kern w:val="0"/>
          <w:sz w:val="24"/>
        </w:rPr>
        <w:t>出具的检验报告为准。</w:t>
      </w:r>
    </w:p>
    <w:p w14:paraId="369E9476">
      <w:pPr>
        <w:pStyle w:val="3"/>
        <w:keepNext w:val="0"/>
        <w:keepLines w:val="0"/>
        <w:pageBreakBefore w:val="0"/>
        <w:widowControl w:val="0"/>
        <w:kinsoku/>
        <w:wordWrap/>
        <w:overflowPunct/>
        <w:topLinePunct w:val="0"/>
        <w:bidi w:val="0"/>
        <w:snapToGrid/>
        <w:spacing w:line="340" w:lineRule="exact"/>
        <w:ind w:firstLine="0" w:firstLineChars="0"/>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
          <w:bCs/>
          <w:sz w:val="24"/>
          <w:lang w:eastAsia="zh-CN"/>
        </w:rPr>
        <w:t>七</w:t>
      </w:r>
      <w:r>
        <w:rPr>
          <w:rFonts w:hint="eastAsia" w:ascii="宋体" w:hAnsi="宋体" w:eastAsia="宋体" w:cs="宋体"/>
          <w:b/>
          <w:bCs/>
          <w:sz w:val="24"/>
        </w:rPr>
        <w:t>、违约责任：</w:t>
      </w:r>
      <w:r>
        <w:rPr>
          <w:rFonts w:hint="eastAsia" w:ascii="宋体" w:hAnsi="宋体" w:eastAsia="宋体" w:cs="宋体"/>
          <w:sz w:val="24"/>
        </w:rPr>
        <w:t>如有任何一方违约，违约部分保证金划归对方，并承担对方违约部分交易手续费，交易中心不承担经济责任。</w:t>
      </w:r>
    </w:p>
    <w:p w14:paraId="0D236C28">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八</w:t>
      </w:r>
      <w:r>
        <w:rPr>
          <w:rFonts w:hint="eastAsia" w:ascii="宋体" w:hAnsi="宋体" w:eastAsia="宋体" w:cs="宋体"/>
          <w:b/>
          <w:bCs/>
          <w:kern w:val="0"/>
          <w:sz w:val="24"/>
        </w:rPr>
        <w:t>、争议解决</w:t>
      </w:r>
      <w:r>
        <w:rPr>
          <w:rFonts w:hint="eastAsia" w:ascii="宋体" w:hAnsi="宋体" w:eastAsia="宋体" w:cs="宋体"/>
          <w:b/>
          <w:bCs/>
          <w:kern w:val="0"/>
          <w:sz w:val="24"/>
          <w:lang w:eastAsia="zh-CN"/>
        </w:rPr>
        <w:t>：</w:t>
      </w:r>
    </w:p>
    <w:p w14:paraId="77B93D91">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1、出现不明确责任情况，由交易中心协调解决；</w:t>
      </w:r>
    </w:p>
    <w:p w14:paraId="282CF73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2、卖方逾期交货（含因质量不合格被买方拒收造成的逾期交货），逾期供货10天内，每逾期一天，按逾期交货总金额的0.2%向买方支付滞纳金；</w:t>
      </w:r>
      <w:r>
        <w:rPr>
          <w:rFonts w:hint="eastAsia" w:ascii="宋体" w:hAnsi="宋体" w:eastAsia="宋体" w:cs="宋体"/>
          <w:sz w:val="24"/>
        </w:rPr>
        <w:t>超过</w:t>
      </w:r>
      <w:r>
        <w:rPr>
          <w:rFonts w:hint="eastAsia" w:ascii="宋体" w:hAnsi="宋体" w:eastAsia="宋体" w:cs="宋体"/>
          <w:sz w:val="24"/>
          <w:lang w:val="en-US" w:eastAsia="zh-CN"/>
        </w:rPr>
        <w:t>10</w:t>
      </w:r>
      <w:r>
        <w:rPr>
          <w:rFonts w:hint="eastAsia" w:ascii="宋体" w:hAnsi="宋体" w:eastAsia="宋体" w:cs="宋体"/>
          <w:sz w:val="24"/>
        </w:rPr>
        <w:t>天的，由交易中心通知卖方停止供货，并按50元/吨扣罚中标单位逾期费</w:t>
      </w:r>
      <w:r>
        <w:rPr>
          <w:rFonts w:hint="eastAsia" w:ascii="宋体" w:hAnsi="宋体" w:eastAsia="宋体" w:cs="宋体"/>
          <w:kern w:val="0"/>
          <w:sz w:val="24"/>
        </w:rPr>
        <w:t>。由于不可抗力原因导致卖方逾期交货，卖方应在一周内向买方及交易中心提交书面报告，说明货物受阻、受影响数量等情况，经交易中心核实，并征得买方同意后，</w:t>
      </w:r>
      <w:r>
        <w:rPr>
          <w:rFonts w:hint="eastAsia" w:ascii="宋体" w:hAnsi="宋体" w:eastAsia="宋体" w:cs="宋体"/>
          <w:kern w:val="0"/>
          <w:sz w:val="24"/>
          <w:lang w:eastAsia="zh-CN"/>
        </w:rPr>
        <w:t>买卖双方签订补充协议，</w:t>
      </w:r>
      <w:r>
        <w:rPr>
          <w:rFonts w:hint="eastAsia" w:ascii="宋体" w:hAnsi="宋体" w:eastAsia="宋体" w:cs="宋体"/>
          <w:kern w:val="0"/>
          <w:sz w:val="24"/>
        </w:rPr>
        <w:t>相应顺延合同履行期限。</w:t>
      </w:r>
    </w:p>
    <w:p w14:paraId="3CADF89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7EDE77D8">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4</w:t>
      </w:r>
      <w:r>
        <w:rPr>
          <w:rFonts w:hint="eastAsia" w:ascii="宋体" w:hAnsi="宋体" w:eastAsia="宋体" w:cs="宋体"/>
          <w:b/>
          <w:kern w:val="0"/>
          <w:sz w:val="24"/>
        </w:rPr>
        <w:t>、</w:t>
      </w:r>
      <w:r>
        <w:rPr>
          <w:rFonts w:hint="eastAsia" w:ascii="宋体" w:hAnsi="宋体" w:eastAsia="宋体" w:cs="宋体"/>
          <w:kern w:val="0"/>
          <w:sz w:val="24"/>
          <w:lang w:eastAsia="zh-CN"/>
        </w:rPr>
        <w:t>买卖双方如就质量问题发生争议，双方共同</w:t>
      </w:r>
      <w:r>
        <w:rPr>
          <w:rFonts w:hint="eastAsia" w:ascii="宋体" w:hAnsi="宋体" w:cs="宋体"/>
          <w:kern w:val="0"/>
          <w:sz w:val="24"/>
          <w:lang w:eastAsia="zh-CN"/>
        </w:rPr>
        <w:t>扦</w:t>
      </w:r>
      <w:r>
        <w:rPr>
          <w:rFonts w:hint="eastAsia" w:ascii="宋体" w:hAnsi="宋体" w:eastAsia="宋体" w:cs="宋体"/>
          <w:kern w:val="0"/>
          <w:sz w:val="24"/>
          <w:lang w:eastAsia="zh-CN"/>
        </w:rPr>
        <w:t>样并委托粮食产品质量监督检验机构检验鉴定，费用由责任方负担。</w:t>
      </w:r>
    </w:p>
    <w:p w14:paraId="4DA793C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sz w:val="24"/>
          <w:lang w:val="en-US" w:eastAsia="zh-CN"/>
        </w:rPr>
        <w:t>5、</w:t>
      </w:r>
      <w:r>
        <w:rPr>
          <w:rFonts w:hint="eastAsia" w:ascii="宋体" w:hAnsi="宋体" w:eastAsia="宋体" w:cs="宋体"/>
          <w:sz w:val="24"/>
        </w:rPr>
        <w:t>卖方提供的货物质量不符合规定的，货物由双方协商处理，余下货款额20%</w:t>
      </w:r>
      <w:r>
        <w:rPr>
          <w:rFonts w:hint="eastAsia" w:ascii="宋体" w:hAnsi="宋体" w:eastAsia="宋体" w:cs="宋体"/>
          <w:color w:val="auto"/>
          <w:sz w:val="24"/>
          <w:highlight w:val="none"/>
        </w:rPr>
        <w:t>暂不支付，专项用于弥补处理不符合质量的货物的损失，余额部分再支付卖方。</w:t>
      </w:r>
    </w:p>
    <w:p w14:paraId="02BD9378">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eastAsia="zh-CN"/>
        </w:rPr>
        <w:t>九</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本合同自签订之日起生效，双方履行完毕后，自然终止。</w:t>
      </w:r>
    </w:p>
    <w:p w14:paraId="763F7AF5">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kern w:val="0"/>
          <w:sz w:val="24"/>
        </w:rPr>
      </w:pPr>
      <w:r>
        <w:rPr>
          <w:rFonts w:hint="eastAsia" w:ascii="宋体" w:hAnsi="宋体" w:eastAsia="宋体" w:cs="宋体"/>
          <w:b/>
          <w:bCs/>
          <w:color w:val="auto"/>
          <w:kern w:val="0"/>
          <w:sz w:val="24"/>
          <w:highlight w:val="none"/>
        </w:rPr>
        <w:t>十、</w:t>
      </w:r>
      <w:r>
        <w:rPr>
          <w:rFonts w:hint="eastAsia" w:ascii="宋体" w:hAnsi="宋体" w:eastAsia="宋体" w:cs="宋体"/>
          <w:color w:val="auto"/>
          <w:kern w:val="0"/>
          <w:sz w:val="24"/>
          <w:highlight w:val="none"/>
        </w:rPr>
        <w:t>如有未尽事宜，买卖双方同意按照《梅州市嘉应粮食交易中心竞价交易规则》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《梅州市嘉应粮食交易中心竞价交易细则》的相</w:t>
      </w:r>
      <w:r>
        <w:rPr>
          <w:rFonts w:hint="eastAsia" w:ascii="宋体" w:hAnsi="宋体" w:eastAsia="宋体" w:cs="宋体"/>
          <w:kern w:val="0"/>
          <w:sz w:val="24"/>
        </w:rPr>
        <w:t>关条款协商解决。协商不成的，提交有关部门或</w:t>
      </w:r>
      <w:r>
        <w:rPr>
          <w:rFonts w:hint="eastAsia" w:ascii="宋体" w:hAnsi="宋体" w:eastAsia="宋体" w:cs="宋体"/>
          <w:sz w:val="24"/>
        </w:rPr>
        <w:t>通过法律程序解决</w:t>
      </w:r>
      <w:r>
        <w:rPr>
          <w:rFonts w:hint="eastAsia" w:ascii="宋体" w:hAnsi="宋体" w:eastAsia="宋体" w:cs="宋体"/>
          <w:kern w:val="0"/>
          <w:sz w:val="24"/>
        </w:rPr>
        <w:t>。</w:t>
      </w:r>
    </w:p>
    <w:p w14:paraId="37E9CB4C">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kern w:val="0"/>
          <w:sz w:val="24"/>
        </w:rPr>
      </w:pPr>
      <w:r>
        <w:rPr>
          <w:rFonts w:hint="eastAsia" w:ascii="宋体" w:hAnsi="宋体" w:eastAsia="宋体" w:cs="宋体"/>
          <w:b/>
          <w:bCs/>
          <w:kern w:val="0"/>
          <w:sz w:val="24"/>
        </w:rPr>
        <w:t>十</w:t>
      </w:r>
      <w:r>
        <w:rPr>
          <w:rFonts w:hint="eastAsia" w:ascii="宋体" w:hAnsi="宋体" w:eastAsia="宋体" w:cs="宋体"/>
          <w:b/>
          <w:bCs/>
          <w:kern w:val="0"/>
          <w:sz w:val="24"/>
          <w:lang w:eastAsia="zh-CN"/>
        </w:rPr>
        <w:t>一</w:t>
      </w:r>
      <w:r>
        <w:rPr>
          <w:rFonts w:hint="eastAsia" w:ascii="宋体" w:hAnsi="宋体" w:eastAsia="宋体" w:cs="宋体"/>
          <w:b/>
          <w:bCs/>
          <w:kern w:val="0"/>
          <w:sz w:val="24"/>
        </w:rPr>
        <w:t>、</w:t>
      </w:r>
      <w:r>
        <w:rPr>
          <w:rFonts w:hint="eastAsia" w:ascii="宋体" w:hAnsi="宋体" w:eastAsia="宋体" w:cs="宋体"/>
          <w:kern w:val="0"/>
          <w:sz w:val="24"/>
        </w:rPr>
        <w:t>本合同一式三份，买卖双方、确认单位各执一份。</w:t>
      </w:r>
    </w:p>
    <w:p w14:paraId="0C54B60C">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8"/>
        </w:rPr>
      </w:pPr>
    </w:p>
    <w:p w14:paraId="78A69C08">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8"/>
        </w:rPr>
      </w:pPr>
    </w:p>
    <w:p w14:paraId="24786A3D">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8"/>
        </w:rPr>
      </w:pPr>
    </w:p>
    <w:p w14:paraId="7B1F6C72">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4"/>
        </w:rPr>
      </w:pPr>
      <w:r>
        <w:rPr>
          <w:rFonts w:hint="eastAsia" w:ascii="宋体" w:hAnsi="宋体" w:eastAsia="宋体" w:cs="宋体"/>
          <w:b/>
          <w:bCs/>
          <w:kern w:val="0"/>
          <w:sz w:val="24"/>
        </w:rPr>
        <w:t>买方单位（盖章）：</w:t>
      </w:r>
      <w:r>
        <w:rPr>
          <w:rFonts w:hint="eastAsia" w:ascii="宋体" w:hAnsi="宋体" w:eastAsia="宋体" w:cs="宋体"/>
          <w:kern w:val="0"/>
          <w:sz w:val="24"/>
        </w:rPr>
        <w:t xml:space="preserve">                      </w:t>
      </w:r>
      <w:r>
        <w:rPr>
          <w:rFonts w:hint="eastAsia" w:ascii="宋体" w:hAnsi="宋体" w:eastAsia="宋体" w:cs="宋体"/>
          <w:b/>
          <w:bCs/>
          <w:kern w:val="0"/>
          <w:sz w:val="24"/>
        </w:rPr>
        <w:t>卖方单位（盖章）：</w:t>
      </w:r>
      <w:r>
        <w:rPr>
          <w:rFonts w:hint="eastAsia" w:ascii="宋体" w:hAnsi="宋体" w:eastAsia="宋体" w:cs="宋体"/>
          <w:kern w:val="0"/>
          <w:sz w:val="24"/>
        </w:rPr>
        <w:t xml:space="preserve"> </w:t>
      </w:r>
    </w:p>
    <w:p w14:paraId="5EF1F9CB">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w w:val="90"/>
          <w:kern w:val="0"/>
          <w:sz w:val="24"/>
        </w:rPr>
      </w:pPr>
    </w:p>
    <w:p w14:paraId="575A9183">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4"/>
        </w:rPr>
      </w:pPr>
      <w:r>
        <w:rPr>
          <w:rFonts w:hint="eastAsia" w:ascii="宋体" w:hAnsi="宋体" w:eastAsia="宋体" w:cs="宋体"/>
          <w:w w:val="90"/>
          <w:kern w:val="0"/>
          <w:sz w:val="24"/>
        </w:rPr>
        <w:t>法人或代理人（签字）：</w:t>
      </w:r>
      <w:r>
        <w:rPr>
          <w:rFonts w:hint="eastAsia" w:ascii="宋体" w:hAnsi="宋体" w:eastAsia="宋体" w:cs="宋体"/>
          <w:kern w:val="0"/>
          <w:sz w:val="24"/>
        </w:rPr>
        <w:t xml:space="preserve">                  </w:t>
      </w:r>
      <w:r>
        <w:rPr>
          <w:rFonts w:hint="eastAsia" w:ascii="宋体" w:hAnsi="宋体" w:cs="宋体"/>
          <w:kern w:val="0"/>
          <w:sz w:val="24"/>
          <w:lang w:val="en-US" w:eastAsia="zh-CN"/>
        </w:rPr>
        <w:t xml:space="preserve">  </w:t>
      </w:r>
      <w:r>
        <w:rPr>
          <w:rFonts w:hint="eastAsia" w:ascii="宋体" w:hAnsi="宋体" w:eastAsia="宋体" w:cs="宋体"/>
          <w:w w:val="90"/>
          <w:kern w:val="0"/>
          <w:sz w:val="24"/>
        </w:rPr>
        <w:t>法人或代理人（签字）：</w:t>
      </w:r>
    </w:p>
    <w:p w14:paraId="022609E9">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sz w:val="24"/>
        </w:rPr>
      </w:pPr>
    </w:p>
    <w:p w14:paraId="249FA9FC">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sz w:val="24"/>
          <w:szCs w:val="24"/>
        </w:rPr>
      </w:pPr>
    </w:p>
    <w:p w14:paraId="04BC000D">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bCs/>
          <w:sz w:val="24"/>
          <w:szCs w:val="24"/>
        </w:rPr>
      </w:pPr>
    </w:p>
    <w:p w14:paraId="298873EB">
      <w:pPr>
        <w:keepNext w:val="0"/>
        <w:keepLines w:val="0"/>
        <w:pageBreakBefore w:val="0"/>
        <w:widowControl w:val="0"/>
        <w:kinsoku/>
        <w:wordWrap/>
        <w:overflowPunct/>
        <w:topLinePunct w:val="0"/>
        <w:bidi w:val="0"/>
        <w:snapToGrid/>
        <w:spacing w:line="340" w:lineRule="exac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确认单位：梅州市嘉应粮食交易中心有限公司</w:t>
      </w:r>
    </w:p>
    <w:p w14:paraId="2AD22116">
      <w:pPr>
        <w:keepNext w:val="0"/>
        <w:keepLines w:val="0"/>
        <w:pageBreakBefore w:val="0"/>
        <w:widowControl w:val="0"/>
        <w:kinsoku/>
        <w:wordWrap/>
        <w:overflowPunct/>
        <w:topLinePunct w:val="0"/>
        <w:bidi w:val="0"/>
        <w:snapToGrid/>
        <w:spacing w:line="340" w:lineRule="exac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电话（传真）：0753-2128232   0753-2128231   </w:t>
      </w:r>
    </w:p>
    <w:p w14:paraId="381957C7">
      <w:pPr>
        <w:keepNext w:val="0"/>
        <w:keepLines w:val="0"/>
        <w:pageBreakBefore w:val="0"/>
        <w:widowControl w:val="0"/>
        <w:kinsoku/>
        <w:wordWrap/>
        <w:overflowPunct/>
        <w:topLinePunct w:val="0"/>
        <w:bidi w:val="0"/>
        <w:snapToGrid/>
        <w:spacing w:line="340" w:lineRule="exact"/>
        <w:textAlignment w:val="auto"/>
        <w:rPr>
          <w:rFonts w:hint="eastAsia" w:asciiTheme="majorEastAsia" w:hAnsiTheme="majorEastAsia" w:eastAsiaTheme="majorEastAsia" w:cstheme="majorEastAsia"/>
          <w:b w:val="0"/>
          <w:bCs w:val="0"/>
          <w:sz w:val="24"/>
          <w:szCs w:val="24"/>
        </w:rPr>
        <w:sectPr>
          <w:headerReference r:id="rId3" w:type="default"/>
          <w:footerReference r:id="rId4" w:type="default"/>
          <w:pgSz w:w="11906" w:h="16838"/>
          <w:pgMar w:top="1304" w:right="1469" w:bottom="1247" w:left="1797" w:header="851" w:footer="992" w:gutter="0"/>
          <w:pgNumType w:fmt="decimal"/>
          <w:cols w:space="720" w:num="1"/>
          <w:docGrid w:type="lines" w:linePitch="312" w:charSpace="0"/>
        </w:sect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lang w:val="en-US" w:eastAsia="zh-CN"/>
        </w:rPr>
        <w:t>2025</w:t>
      </w:r>
      <w:r>
        <w:rPr>
          <w:rFonts w:hint="eastAsia" w:asciiTheme="majorEastAsia" w:hAnsiTheme="majorEastAsia" w:eastAsiaTheme="majorEastAsia" w:cstheme="majorEastAsia"/>
          <w:b w:val="0"/>
          <w:bCs w:val="0"/>
          <w:sz w:val="24"/>
          <w:szCs w:val="24"/>
        </w:rPr>
        <w:t>年</w:t>
      </w:r>
      <w:r>
        <w:rPr>
          <w:rFonts w:hint="eastAsia" w:asciiTheme="majorEastAsia" w:hAnsiTheme="majorEastAsia" w:eastAsiaTheme="majorEastAsia" w:cstheme="majorEastAsia"/>
          <w:b w:val="0"/>
          <w:bCs w:val="0"/>
          <w:sz w:val="24"/>
          <w:szCs w:val="24"/>
          <w:lang w:val="en-US" w:eastAsia="zh-CN"/>
        </w:rPr>
        <w:t>XX</w:t>
      </w:r>
      <w:r>
        <w:rPr>
          <w:rFonts w:hint="eastAsia" w:asciiTheme="majorEastAsia" w:hAnsiTheme="majorEastAsia" w:eastAsiaTheme="majorEastAsia" w:cstheme="majorEastAsia"/>
          <w:b w:val="0"/>
          <w:bCs w:val="0"/>
          <w:sz w:val="24"/>
          <w:szCs w:val="24"/>
        </w:rPr>
        <w:t>月</w:t>
      </w:r>
      <w:r>
        <w:rPr>
          <w:rFonts w:hint="eastAsia" w:asciiTheme="majorEastAsia" w:hAnsiTheme="majorEastAsia" w:eastAsiaTheme="majorEastAsia" w:cstheme="majorEastAsia"/>
          <w:b w:val="0"/>
          <w:bCs w:val="0"/>
          <w:sz w:val="24"/>
          <w:szCs w:val="24"/>
          <w:lang w:val="en-US" w:eastAsia="zh-CN"/>
        </w:rPr>
        <w:t>XX</w:t>
      </w:r>
      <w:r>
        <w:rPr>
          <w:rFonts w:hint="eastAsia" w:asciiTheme="majorEastAsia" w:hAnsiTheme="majorEastAsia" w:eastAsiaTheme="majorEastAsia" w:cstheme="majorEastAsia"/>
          <w:b w:val="0"/>
          <w:bCs w:val="0"/>
          <w:sz w:val="24"/>
          <w:szCs w:val="24"/>
        </w:rPr>
        <w:t>日</w:t>
      </w:r>
    </w:p>
    <w:p w14:paraId="1FAABFC7">
      <w:pPr>
        <w:jc w:val="center"/>
        <w:rPr>
          <w:rFonts w:hint="eastAsia" w:asciiTheme="majorEastAsia" w:hAnsiTheme="majorEastAsia" w:eastAsiaTheme="majorEastAsia"/>
          <w:sz w:val="44"/>
          <w:szCs w:val="44"/>
        </w:rPr>
      </w:pPr>
      <w:r>
        <w:rPr>
          <w:rFonts w:hint="eastAsia" w:asciiTheme="majorEastAsia" w:hAnsiTheme="majorEastAsia" w:eastAsiaTheme="majorEastAsia"/>
          <w:b/>
          <w:bCs/>
          <w:sz w:val="44"/>
          <w:szCs w:val="44"/>
        </w:rPr>
        <w:t>稻谷质量安全信用承诺书</w:t>
      </w:r>
    </w:p>
    <w:p w14:paraId="3E095B54">
      <w:pPr>
        <w:rPr>
          <w:rFonts w:hint="eastAsia" w:ascii="仿宋" w:hAnsi="仿宋" w:eastAsia="仿宋" w:cs="仿宋"/>
          <w:sz w:val="32"/>
          <w:szCs w:val="32"/>
        </w:rPr>
      </w:pPr>
    </w:p>
    <w:p w14:paraId="5A20B70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sz w:val="32"/>
          <w:szCs w:val="32"/>
        </w:rPr>
      </w:pPr>
      <w:r>
        <w:rPr>
          <w:rFonts w:hint="eastAsia" w:ascii="仿宋" w:hAnsi="仿宋" w:eastAsia="仿宋" w:cs="仿宋"/>
          <w:kern w:val="0"/>
          <w:sz w:val="32"/>
          <w:szCs w:val="32"/>
        </w:rPr>
        <w:t>五华县琴江粮油收储管理</w:t>
      </w:r>
      <w:r>
        <w:rPr>
          <w:rFonts w:hint="eastAsia" w:ascii="仿宋" w:hAnsi="仿宋" w:eastAsia="仿宋" w:cs="仿宋"/>
          <w:sz w:val="32"/>
          <w:szCs w:val="32"/>
        </w:rPr>
        <w:t>有限公司:</w:t>
      </w:r>
    </w:p>
    <w:p w14:paraId="31DA6F45">
      <w:pPr>
        <w:ind w:firstLine="640" w:firstLineChars="200"/>
        <w:rPr>
          <w:rFonts w:hint="eastAsia" w:ascii="仿宋" w:hAnsi="仿宋" w:eastAsia="仿宋" w:cs="仿宋"/>
          <w:sz w:val="32"/>
          <w:szCs w:val="32"/>
        </w:rPr>
      </w:pPr>
      <w:r>
        <w:rPr>
          <w:rFonts w:hint="eastAsia" w:ascii="仿宋" w:hAnsi="仿宋" w:eastAsia="仿宋" w:cs="仿宋"/>
          <w:sz w:val="32"/>
          <w:szCs w:val="32"/>
        </w:rPr>
        <w:t>我单位于XX年XX月XX日在梅州市嘉应粮食交易中心有限公司竞价采购交易中标XXXX年产三级早籼稻谷XXXX吨(合同编号:XXXXXX)。我单位郑重承诺:</w:t>
      </w:r>
    </w:p>
    <w:p w14:paraId="51F83685">
      <w:pPr>
        <w:ind w:firstLine="640" w:firstLineChars="200"/>
        <w:rPr>
          <w:rFonts w:hint="eastAsia" w:ascii="仿宋" w:hAnsi="仿宋" w:eastAsia="仿宋" w:cs="仿宋"/>
          <w:sz w:val="32"/>
          <w:szCs w:val="32"/>
        </w:rPr>
      </w:pPr>
      <w:r>
        <w:rPr>
          <w:rFonts w:hint="eastAsia" w:ascii="仿宋" w:hAnsi="仿宋" w:eastAsia="仿宋" w:cs="仿宋"/>
          <w:sz w:val="32"/>
          <w:szCs w:val="32"/>
        </w:rPr>
        <w:t>一、销售给贵公司的该批稻谷我单位拥有完全处分权，该批稻谷之上未设定任何他物权等财产负担，且未有任何第三人对该批稻谷提出任何权利主张，不存在权利瑕疵。</w:t>
      </w:r>
    </w:p>
    <w:p w14:paraId="180D9511">
      <w:pPr>
        <w:ind w:firstLine="640" w:firstLineChars="200"/>
        <w:rPr>
          <w:rFonts w:hint="eastAsia" w:ascii="仿宋" w:hAnsi="仿宋" w:eastAsia="仿宋" w:cs="仿宋"/>
          <w:sz w:val="32"/>
          <w:szCs w:val="32"/>
        </w:rPr>
      </w:pPr>
      <w:r>
        <w:rPr>
          <w:rFonts w:hint="eastAsia" w:ascii="仿宋" w:hAnsi="仿宋" w:eastAsia="仿宋" w:cs="仿宋"/>
          <w:sz w:val="32"/>
          <w:szCs w:val="32"/>
        </w:rPr>
        <w:t>二、销售给贵公司的稻谷来源渠道合法正规，不混杂其他生产年份的稻谷，不存在“以陈顶新”,“转圈粮”等违法违规行为，稻谷质量符合合同约定标准。</w:t>
      </w:r>
    </w:p>
    <w:p w14:paraId="1A07D026">
      <w:pPr>
        <w:ind w:firstLine="640" w:firstLineChars="200"/>
        <w:rPr>
          <w:rFonts w:hint="eastAsia" w:ascii="仿宋" w:hAnsi="仿宋" w:eastAsia="仿宋" w:cs="仿宋"/>
          <w:sz w:val="32"/>
          <w:szCs w:val="32"/>
        </w:rPr>
      </w:pPr>
      <w:r>
        <w:rPr>
          <w:rFonts w:hint="eastAsia" w:ascii="仿宋" w:hAnsi="仿宋" w:eastAsia="仿宋" w:cs="仿宋"/>
          <w:sz w:val="32"/>
          <w:szCs w:val="32"/>
        </w:rPr>
        <w:t>三、如有违反，我单位愿承担违约和相关法律责任。</w:t>
      </w:r>
    </w:p>
    <w:p w14:paraId="5DED7194">
      <w:pPr>
        <w:ind w:firstLine="640" w:firstLineChars="200"/>
        <w:rPr>
          <w:rFonts w:hint="eastAsia" w:ascii="仿宋" w:hAnsi="仿宋" w:eastAsia="仿宋" w:cs="仿宋"/>
          <w:sz w:val="32"/>
          <w:szCs w:val="32"/>
        </w:rPr>
      </w:pPr>
      <w:r>
        <w:rPr>
          <w:rFonts w:hint="eastAsia" w:ascii="仿宋" w:hAnsi="仿宋" w:eastAsia="仿宋" w:cs="仿宋"/>
          <w:sz w:val="32"/>
          <w:szCs w:val="32"/>
        </w:rPr>
        <w:t>特此承诺</w:t>
      </w:r>
    </w:p>
    <w:p w14:paraId="7CA1E15F">
      <w:pPr>
        <w:rPr>
          <w:rFonts w:hint="eastAsia" w:ascii="仿宋" w:hAnsi="仿宋" w:eastAsia="仿宋" w:cs="仿宋"/>
          <w:sz w:val="32"/>
          <w:szCs w:val="32"/>
        </w:rPr>
      </w:pPr>
    </w:p>
    <w:p w14:paraId="0349962F">
      <w:pPr>
        <w:ind w:right="1280" w:firstLine="3520" w:firstLineChars="1100"/>
        <w:jc w:val="left"/>
        <w:rPr>
          <w:rFonts w:hint="eastAsia" w:ascii="仿宋" w:hAnsi="仿宋" w:eastAsia="仿宋" w:cs="仿宋"/>
          <w:sz w:val="32"/>
          <w:szCs w:val="32"/>
          <w:lang w:val="en-US" w:eastAsia="zh-CN"/>
        </w:rPr>
      </w:pPr>
    </w:p>
    <w:p w14:paraId="0F91EF03">
      <w:pPr>
        <w:ind w:right="1280" w:firstLine="3520" w:firstLineChars="1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单位名称：</w:t>
      </w:r>
    </w:p>
    <w:p w14:paraId="24E26710">
      <w:pPr>
        <w:ind w:right="1280" w:firstLine="3520" w:firstLineChars="1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统一社会信用代码：</w:t>
      </w:r>
    </w:p>
    <w:p w14:paraId="55210C02">
      <w:pPr>
        <w:ind w:right="1280" w:firstLine="3520" w:firstLineChars="1100"/>
        <w:jc w:val="left"/>
        <w:rPr>
          <w:rFonts w:hint="eastAsia" w:ascii="仿宋" w:hAnsi="仿宋" w:eastAsia="仿宋" w:cs="仿宋"/>
          <w:color w:val="auto"/>
          <w:sz w:val="32"/>
          <w:szCs w:val="32"/>
        </w:rPr>
      </w:pPr>
      <w:r>
        <w:rPr>
          <w:rFonts w:hint="eastAsia" w:ascii="仿宋" w:hAnsi="仿宋" w:eastAsia="仿宋" w:cs="仿宋"/>
          <w:color w:val="auto"/>
          <w:sz w:val="32"/>
          <w:szCs w:val="32"/>
        </w:rPr>
        <w:t>法人代表签</w:t>
      </w:r>
      <w:r>
        <w:rPr>
          <w:rFonts w:hint="eastAsia" w:ascii="仿宋" w:hAnsi="仿宋" w:eastAsia="仿宋" w:cs="仿宋"/>
          <w:color w:val="auto"/>
          <w:sz w:val="32"/>
          <w:szCs w:val="32"/>
          <w:lang w:val="en-US" w:eastAsia="zh-CN"/>
        </w:rPr>
        <w:t>名</w:t>
      </w:r>
      <w:r>
        <w:rPr>
          <w:rFonts w:hint="eastAsia" w:ascii="仿宋" w:hAnsi="仿宋" w:eastAsia="仿宋" w:cs="仿宋"/>
          <w:color w:val="auto"/>
          <w:sz w:val="32"/>
          <w:szCs w:val="32"/>
        </w:rPr>
        <w:t>:</w:t>
      </w:r>
    </w:p>
    <w:p w14:paraId="3DDA6F99">
      <w:pPr>
        <w:ind w:right="640"/>
        <w:jc w:val="center"/>
        <w:rPr>
          <w:rFonts w:ascii="仿宋" w:hAnsi="仿宋" w:eastAsia="仿宋"/>
          <w:sz w:val="32"/>
          <w:szCs w:val="32"/>
        </w:rPr>
      </w:pPr>
      <w:r>
        <w:rPr>
          <w:rFonts w:hint="eastAsia" w:ascii="仿宋" w:hAnsi="仿宋" w:eastAsia="仿宋"/>
          <w:sz w:val="32"/>
          <w:szCs w:val="32"/>
          <w:lang w:val="en-US" w:eastAsia="zh-CN"/>
        </w:rPr>
        <w:t xml:space="preserve">                                  2025</w:t>
      </w:r>
      <w:r>
        <w:rPr>
          <w:rFonts w:hint="eastAsia" w:ascii="仿宋" w:hAnsi="仿宋" w:eastAsia="仿宋"/>
          <w:sz w:val="32"/>
          <w:szCs w:val="32"/>
        </w:rPr>
        <w:t>年XX月XX日</w:t>
      </w:r>
    </w:p>
    <w:p w14:paraId="27E31209">
      <w:pPr>
        <w:keepNext w:val="0"/>
        <w:keepLines w:val="0"/>
        <w:pageBreakBefore w:val="0"/>
        <w:widowControl w:val="0"/>
        <w:kinsoku/>
        <w:wordWrap/>
        <w:overflowPunct/>
        <w:topLinePunct w:val="0"/>
        <w:bidi w:val="0"/>
        <w:snapToGrid/>
        <w:spacing w:line="340" w:lineRule="exact"/>
        <w:textAlignment w:val="auto"/>
        <w:rPr>
          <w:rFonts w:hint="default" w:ascii="Times New Roman" w:hAnsi="Times New Roman" w:cs="Times New Roman"/>
          <w:sz w:val="24"/>
          <w:szCs w:val="24"/>
        </w:rPr>
      </w:pPr>
    </w:p>
    <w:p w14:paraId="7B97289B">
      <w:pPr>
        <w:keepNext w:val="0"/>
        <w:keepLines w:val="0"/>
        <w:pageBreakBefore w:val="0"/>
        <w:widowControl w:val="0"/>
        <w:kinsoku/>
        <w:wordWrap/>
        <w:overflowPunct/>
        <w:topLinePunct w:val="0"/>
        <w:bidi w:val="0"/>
        <w:snapToGrid/>
        <w:spacing w:line="340" w:lineRule="exact"/>
        <w:textAlignment w:val="auto"/>
        <w:rPr>
          <w:rFonts w:hint="eastAsia" w:ascii="方正仿宋简体" w:hAnsi="方正仿宋简体" w:eastAsia="方正仿宋简体" w:cs="方正仿宋简体"/>
          <w:b/>
          <w:bCs/>
          <w:sz w:val="24"/>
          <w:szCs w:val="24"/>
        </w:rPr>
      </w:pPr>
    </w:p>
    <w:p w14:paraId="7931793C">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bCs/>
          <w:sz w:val="24"/>
          <w:szCs w:val="24"/>
        </w:rPr>
      </w:pPr>
    </w:p>
    <w:p w14:paraId="0128E36A">
      <w:pPr>
        <w:keepNext w:val="0"/>
        <w:keepLines w:val="0"/>
        <w:pageBreakBefore w:val="0"/>
        <w:widowControl w:val="0"/>
        <w:kinsoku/>
        <w:wordWrap/>
        <w:overflowPunct/>
        <w:topLinePunct w:val="0"/>
        <w:bidi w:val="0"/>
        <w:snapToGrid/>
        <w:spacing w:line="340" w:lineRule="exact"/>
        <w:textAlignment w:val="auto"/>
        <w:rPr>
          <w:rFonts w:hint="default" w:ascii="Times New Roman" w:hAnsi="Times New Roman" w:cs="Times New Roman"/>
          <w:sz w:val="24"/>
          <w:szCs w:val="24"/>
        </w:rPr>
      </w:pPr>
    </w:p>
    <w:sectPr>
      <w:pgSz w:w="11906" w:h="16838"/>
      <w:pgMar w:top="1304" w:right="1469" w:bottom="1247"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D4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1422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61422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2DC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YzUzMzUyMGZjMjg5MmVhOGI3NWExODhhYjU1MzIifQ=="/>
    <w:docVar w:name="KSO_WPS_MARK_KEY" w:val="19d08553-7a6a-42dc-918a-6849083e6995"/>
  </w:docVars>
  <w:rsids>
    <w:rsidRoot w:val="00497FD1"/>
    <w:rsid w:val="0000037E"/>
    <w:rsid w:val="000035F7"/>
    <w:rsid w:val="000058F1"/>
    <w:rsid w:val="0001202F"/>
    <w:rsid w:val="00014E0B"/>
    <w:rsid w:val="000152E6"/>
    <w:rsid w:val="00017275"/>
    <w:rsid w:val="00026187"/>
    <w:rsid w:val="0002691A"/>
    <w:rsid w:val="00045F72"/>
    <w:rsid w:val="00050AFF"/>
    <w:rsid w:val="0006718C"/>
    <w:rsid w:val="00074864"/>
    <w:rsid w:val="00077F84"/>
    <w:rsid w:val="000807BD"/>
    <w:rsid w:val="00094F2B"/>
    <w:rsid w:val="00096B25"/>
    <w:rsid w:val="000A0633"/>
    <w:rsid w:val="000A4A9B"/>
    <w:rsid w:val="000C5481"/>
    <w:rsid w:val="000F40E4"/>
    <w:rsid w:val="00100FE5"/>
    <w:rsid w:val="001035B8"/>
    <w:rsid w:val="00110D01"/>
    <w:rsid w:val="00111327"/>
    <w:rsid w:val="00113892"/>
    <w:rsid w:val="001152CA"/>
    <w:rsid w:val="0013605A"/>
    <w:rsid w:val="001431E1"/>
    <w:rsid w:val="00143C5C"/>
    <w:rsid w:val="00152DA2"/>
    <w:rsid w:val="00184CAB"/>
    <w:rsid w:val="001B6B5F"/>
    <w:rsid w:val="001C14BF"/>
    <w:rsid w:val="001D446C"/>
    <w:rsid w:val="001D5B49"/>
    <w:rsid w:val="001E2B98"/>
    <w:rsid w:val="001F768A"/>
    <w:rsid w:val="00200335"/>
    <w:rsid w:val="002116A3"/>
    <w:rsid w:val="00221ED0"/>
    <w:rsid w:val="00224DC0"/>
    <w:rsid w:val="0023071A"/>
    <w:rsid w:val="00234722"/>
    <w:rsid w:val="00236C10"/>
    <w:rsid w:val="00251B46"/>
    <w:rsid w:val="002801F8"/>
    <w:rsid w:val="0029138D"/>
    <w:rsid w:val="002931B0"/>
    <w:rsid w:val="00297ADC"/>
    <w:rsid w:val="002C67DE"/>
    <w:rsid w:val="002E0E68"/>
    <w:rsid w:val="003038C8"/>
    <w:rsid w:val="00304C25"/>
    <w:rsid w:val="003210DD"/>
    <w:rsid w:val="00323542"/>
    <w:rsid w:val="00333BEE"/>
    <w:rsid w:val="00342C51"/>
    <w:rsid w:val="00361F6D"/>
    <w:rsid w:val="00371CF7"/>
    <w:rsid w:val="003846F5"/>
    <w:rsid w:val="00385F2B"/>
    <w:rsid w:val="00391184"/>
    <w:rsid w:val="003950A2"/>
    <w:rsid w:val="003A760F"/>
    <w:rsid w:val="003B6694"/>
    <w:rsid w:val="003C0010"/>
    <w:rsid w:val="003D641E"/>
    <w:rsid w:val="003D66AA"/>
    <w:rsid w:val="003E5E3D"/>
    <w:rsid w:val="003F6593"/>
    <w:rsid w:val="00410369"/>
    <w:rsid w:val="0044051E"/>
    <w:rsid w:val="00460C08"/>
    <w:rsid w:val="00470F90"/>
    <w:rsid w:val="00487650"/>
    <w:rsid w:val="00497FD1"/>
    <w:rsid w:val="004A095E"/>
    <w:rsid w:val="004C565E"/>
    <w:rsid w:val="004C6AEA"/>
    <w:rsid w:val="004E747F"/>
    <w:rsid w:val="004F097D"/>
    <w:rsid w:val="004F2097"/>
    <w:rsid w:val="004F74C3"/>
    <w:rsid w:val="005046F7"/>
    <w:rsid w:val="00511694"/>
    <w:rsid w:val="00537024"/>
    <w:rsid w:val="00547CD6"/>
    <w:rsid w:val="005644F2"/>
    <w:rsid w:val="005724EF"/>
    <w:rsid w:val="005A266A"/>
    <w:rsid w:val="005A7DEB"/>
    <w:rsid w:val="005C6853"/>
    <w:rsid w:val="005E1815"/>
    <w:rsid w:val="005E286B"/>
    <w:rsid w:val="005E522E"/>
    <w:rsid w:val="005E658F"/>
    <w:rsid w:val="005E755A"/>
    <w:rsid w:val="005F3B4B"/>
    <w:rsid w:val="00606DF5"/>
    <w:rsid w:val="0061699B"/>
    <w:rsid w:val="006358E0"/>
    <w:rsid w:val="00644FB7"/>
    <w:rsid w:val="006507AA"/>
    <w:rsid w:val="00651C70"/>
    <w:rsid w:val="00656CEC"/>
    <w:rsid w:val="00675E93"/>
    <w:rsid w:val="0068638E"/>
    <w:rsid w:val="006916EF"/>
    <w:rsid w:val="006944B9"/>
    <w:rsid w:val="00695904"/>
    <w:rsid w:val="006B15A7"/>
    <w:rsid w:val="006C06F8"/>
    <w:rsid w:val="006D2D0A"/>
    <w:rsid w:val="006D305D"/>
    <w:rsid w:val="006D4BF2"/>
    <w:rsid w:val="006D6917"/>
    <w:rsid w:val="007042E7"/>
    <w:rsid w:val="007073D7"/>
    <w:rsid w:val="00723297"/>
    <w:rsid w:val="00723923"/>
    <w:rsid w:val="007244E1"/>
    <w:rsid w:val="00727C6D"/>
    <w:rsid w:val="007475C8"/>
    <w:rsid w:val="007505F7"/>
    <w:rsid w:val="00753619"/>
    <w:rsid w:val="007538F2"/>
    <w:rsid w:val="00762D9E"/>
    <w:rsid w:val="007A273F"/>
    <w:rsid w:val="007A2EC9"/>
    <w:rsid w:val="007A3877"/>
    <w:rsid w:val="007B3B44"/>
    <w:rsid w:val="007C7552"/>
    <w:rsid w:val="007D0C0F"/>
    <w:rsid w:val="007D3A9C"/>
    <w:rsid w:val="007E1BB5"/>
    <w:rsid w:val="007E7CE9"/>
    <w:rsid w:val="00803A12"/>
    <w:rsid w:val="0081372D"/>
    <w:rsid w:val="00816F5C"/>
    <w:rsid w:val="00831B16"/>
    <w:rsid w:val="00831BFA"/>
    <w:rsid w:val="00840854"/>
    <w:rsid w:val="0086219C"/>
    <w:rsid w:val="008661C4"/>
    <w:rsid w:val="008671C1"/>
    <w:rsid w:val="00870B90"/>
    <w:rsid w:val="00894724"/>
    <w:rsid w:val="00896C6A"/>
    <w:rsid w:val="00897A05"/>
    <w:rsid w:val="008A7BCD"/>
    <w:rsid w:val="008D249A"/>
    <w:rsid w:val="008D3092"/>
    <w:rsid w:val="008E5AC6"/>
    <w:rsid w:val="008F09A3"/>
    <w:rsid w:val="0090171D"/>
    <w:rsid w:val="009022D6"/>
    <w:rsid w:val="00903759"/>
    <w:rsid w:val="009168E4"/>
    <w:rsid w:val="0092052F"/>
    <w:rsid w:val="009271FD"/>
    <w:rsid w:val="009306D5"/>
    <w:rsid w:val="0093143A"/>
    <w:rsid w:val="00960103"/>
    <w:rsid w:val="00974ABA"/>
    <w:rsid w:val="0098781B"/>
    <w:rsid w:val="00997E5F"/>
    <w:rsid w:val="009B434D"/>
    <w:rsid w:val="009B4746"/>
    <w:rsid w:val="009C1A33"/>
    <w:rsid w:val="009D1AF3"/>
    <w:rsid w:val="009D1CD6"/>
    <w:rsid w:val="009E1C25"/>
    <w:rsid w:val="009E226D"/>
    <w:rsid w:val="009F1556"/>
    <w:rsid w:val="009F1BE8"/>
    <w:rsid w:val="009F238F"/>
    <w:rsid w:val="009F6E54"/>
    <w:rsid w:val="00A3051C"/>
    <w:rsid w:val="00A33A50"/>
    <w:rsid w:val="00A404F6"/>
    <w:rsid w:val="00A40AF5"/>
    <w:rsid w:val="00A65FC5"/>
    <w:rsid w:val="00A75677"/>
    <w:rsid w:val="00A81D0C"/>
    <w:rsid w:val="00A86704"/>
    <w:rsid w:val="00A946A1"/>
    <w:rsid w:val="00A973C1"/>
    <w:rsid w:val="00AC111C"/>
    <w:rsid w:val="00AC437F"/>
    <w:rsid w:val="00AD09FB"/>
    <w:rsid w:val="00AD5D2C"/>
    <w:rsid w:val="00AF0F99"/>
    <w:rsid w:val="00B06CDC"/>
    <w:rsid w:val="00B10AB9"/>
    <w:rsid w:val="00B13CBE"/>
    <w:rsid w:val="00B14AD9"/>
    <w:rsid w:val="00B172B6"/>
    <w:rsid w:val="00B22967"/>
    <w:rsid w:val="00B24540"/>
    <w:rsid w:val="00B30583"/>
    <w:rsid w:val="00B306DF"/>
    <w:rsid w:val="00B30E77"/>
    <w:rsid w:val="00B37F09"/>
    <w:rsid w:val="00B40838"/>
    <w:rsid w:val="00B43CD8"/>
    <w:rsid w:val="00B441E4"/>
    <w:rsid w:val="00B4670E"/>
    <w:rsid w:val="00B47BFD"/>
    <w:rsid w:val="00B51907"/>
    <w:rsid w:val="00B51F50"/>
    <w:rsid w:val="00B71757"/>
    <w:rsid w:val="00B71D81"/>
    <w:rsid w:val="00B72FE7"/>
    <w:rsid w:val="00B75572"/>
    <w:rsid w:val="00B83B3A"/>
    <w:rsid w:val="00B85595"/>
    <w:rsid w:val="00B91D67"/>
    <w:rsid w:val="00BB3F45"/>
    <w:rsid w:val="00BC36D9"/>
    <w:rsid w:val="00BC7FE5"/>
    <w:rsid w:val="00BD24F5"/>
    <w:rsid w:val="00BF5DFF"/>
    <w:rsid w:val="00BF6531"/>
    <w:rsid w:val="00C045DD"/>
    <w:rsid w:val="00C52728"/>
    <w:rsid w:val="00C703DA"/>
    <w:rsid w:val="00C732E5"/>
    <w:rsid w:val="00C74388"/>
    <w:rsid w:val="00C83FB6"/>
    <w:rsid w:val="00C920D9"/>
    <w:rsid w:val="00C936A8"/>
    <w:rsid w:val="00CA342F"/>
    <w:rsid w:val="00CA3DE4"/>
    <w:rsid w:val="00CA46F9"/>
    <w:rsid w:val="00CD0183"/>
    <w:rsid w:val="00CD023A"/>
    <w:rsid w:val="00CD6992"/>
    <w:rsid w:val="00CE3257"/>
    <w:rsid w:val="00CE4D88"/>
    <w:rsid w:val="00CE6CD9"/>
    <w:rsid w:val="00D1010C"/>
    <w:rsid w:val="00D24989"/>
    <w:rsid w:val="00D24C2D"/>
    <w:rsid w:val="00D258A1"/>
    <w:rsid w:val="00D5713F"/>
    <w:rsid w:val="00D652C4"/>
    <w:rsid w:val="00D851E9"/>
    <w:rsid w:val="00D857B5"/>
    <w:rsid w:val="00D918D0"/>
    <w:rsid w:val="00D95A57"/>
    <w:rsid w:val="00D97003"/>
    <w:rsid w:val="00DB1AFF"/>
    <w:rsid w:val="00DE2C0F"/>
    <w:rsid w:val="00DE4060"/>
    <w:rsid w:val="00DE6DBE"/>
    <w:rsid w:val="00E07358"/>
    <w:rsid w:val="00E16609"/>
    <w:rsid w:val="00E20EA5"/>
    <w:rsid w:val="00E219D2"/>
    <w:rsid w:val="00E43543"/>
    <w:rsid w:val="00E512AF"/>
    <w:rsid w:val="00E65B1A"/>
    <w:rsid w:val="00E83F32"/>
    <w:rsid w:val="00E85B2B"/>
    <w:rsid w:val="00E85C18"/>
    <w:rsid w:val="00EA2EC3"/>
    <w:rsid w:val="00EB1DA4"/>
    <w:rsid w:val="00EB4FCE"/>
    <w:rsid w:val="00EE4AC6"/>
    <w:rsid w:val="00EE4D26"/>
    <w:rsid w:val="00EE58A6"/>
    <w:rsid w:val="00EE5BD4"/>
    <w:rsid w:val="00EE7F00"/>
    <w:rsid w:val="00F1181B"/>
    <w:rsid w:val="00F158EB"/>
    <w:rsid w:val="00F161ED"/>
    <w:rsid w:val="00F26389"/>
    <w:rsid w:val="00F319FD"/>
    <w:rsid w:val="00F47AE9"/>
    <w:rsid w:val="00F550A9"/>
    <w:rsid w:val="00F60374"/>
    <w:rsid w:val="00F61EFD"/>
    <w:rsid w:val="00F65396"/>
    <w:rsid w:val="00F6597E"/>
    <w:rsid w:val="00F71E49"/>
    <w:rsid w:val="00F91909"/>
    <w:rsid w:val="00F97951"/>
    <w:rsid w:val="00FA47F0"/>
    <w:rsid w:val="00FA4CD3"/>
    <w:rsid w:val="00FA7059"/>
    <w:rsid w:val="00FC4FB2"/>
    <w:rsid w:val="00FD03B2"/>
    <w:rsid w:val="00FD3E4B"/>
    <w:rsid w:val="00FE68D5"/>
    <w:rsid w:val="00FF075B"/>
    <w:rsid w:val="00FF13FC"/>
    <w:rsid w:val="00FF1EC8"/>
    <w:rsid w:val="00FF4229"/>
    <w:rsid w:val="00FF4769"/>
    <w:rsid w:val="00FF7BDA"/>
    <w:rsid w:val="031E6EFB"/>
    <w:rsid w:val="034D4B53"/>
    <w:rsid w:val="03AD1A10"/>
    <w:rsid w:val="0408131E"/>
    <w:rsid w:val="099479C1"/>
    <w:rsid w:val="0A506C93"/>
    <w:rsid w:val="0D506086"/>
    <w:rsid w:val="0E3169C1"/>
    <w:rsid w:val="0E3A4E76"/>
    <w:rsid w:val="0E6434F6"/>
    <w:rsid w:val="123776F9"/>
    <w:rsid w:val="1246530A"/>
    <w:rsid w:val="12A762F8"/>
    <w:rsid w:val="164C0C88"/>
    <w:rsid w:val="1C562A14"/>
    <w:rsid w:val="1D827BE6"/>
    <w:rsid w:val="1FF40492"/>
    <w:rsid w:val="24275AEC"/>
    <w:rsid w:val="2D0A16E2"/>
    <w:rsid w:val="2FA571A0"/>
    <w:rsid w:val="33220EBD"/>
    <w:rsid w:val="3B514E2A"/>
    <w:rsid w:val="3C1F10A2"/>
    <w:rsid w:val="3DE14C35"/>
    <w:rsid w:val="3F4F6032"/>
    <w:rsid w:val="40491E32"/>
    <w:rsid w:val="41B36463"/>
    <w:rsid w:val="430A21B9"/>
    <w:rsid w:val="441B7C4A"/>
    <w:rsid w:val="492872CE"/>
    <w:rsid w:val="49400B92"/>
    <w:rsid w:val="49C30AA6"/>
    <w:rsid w:val="4A3D274A"/>
    <w:rsid w:val="4FAF4E30"/>
    <w:rsid w:val="50123FE9"/>
    <w:rsid w:val="51DC59FA"/>
    <w:rsid w:val="56020B9E"/>
    <w:rsid w:val="56EA0819"/>
    <w:rsid w:val="573509D8"/>
    <w:rsid w:val="594B3F95"/>
    <w:rsid w:val="5FC120E5"/>
    <w:rsid w:val="60B011B0"/>
    <w:rsid w:val="63D745AA"/>
    <w:rsid w:val="64295854"/>
    <w:rsid w:val="644876A6"/>
    <w:rsid w:val="64583430"/>
    <w:rsid w:val="6572640B"/>
    <w:rsid w:val="66F70B8A"/>
    <w:rsid w:val="6B873CDB"/>
    <w:rsid w:val="6E2B758B"/>
    <w:rsid w:val="6E750E25"/>
    <w:rsid w:val="6F2659F7"/>
    <w:rsid w:val="6FC53565"/>
    <w:rsid w:val="70BF4809"/>
    <w:rsid w:val="760712C8"/>
    <w:rsid w:val="77812B8D"/>
    <w:rsid w:val="7E687619"/>
    <w:rsid w:val="7F04001E"/>
    <w:rsid w:val="7F64663E"/>
    <w:rsid w:val="FF6B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3</Pages>
  <Words>1945</Words>
  <Characters>2104</Characters>
  <Lines>2</Lines>
  <Paragraphs>3</Paragraphs>
  <TotalTime>0</TotalTime>
  <ScaleCrop>false</ScaleCrop>
  <LinksUpToDate>false</LinksUpToDate>
  <CharactersWithSpaces>2280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2019-08-07T15:43:00Z</dcterms:created>
  <dc:creator>hn</dc:creator>
  <cp:lastModifiedBy>晨怡</cp:lastModifiedBy>
  <cp:lastPrinted>2025-07-22T09:50:00Z</cp:lastPrinted>
  <dcterms:modified xsi:type="dcterms:W3CDTF">2025-07-30T08:12:08Z</dcterms:modified>
  <dc:title>广东华南粮食中心批发市场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8F8CAE348DF844078734B458AF7FA78F</vt:lpwstr>
  </property>
  <property fmtid="{D5CDD505-2E9C-101B-9397-08002B2CF9AE}" pid="4" name="KSOTemplateDocerSaveRecord">
    <vt:lpwstr>eyJoZGlkIjoiZDQzNWNjZmMwOGZkY2FmNjMzMDM1ZTk0ODJlZGM0NzIiLCJ1c2VySWQiOiI3NjE2NDY1NDUifQ==</vt:lpwstr>
  </property>
</Properties>
</file>