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2E41">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梅州市嘉应粮食交易中心有限公司</w:t>
      </w:r>
    </w:p>
    <w:p w14:paraId="1078FF71">
      <w:pPr>
        <w:autoSpaceDE w:val="0"/>
        <w:autoSpaceDN w:val="0"/>
        <w:adjustRightInd w:val="0"/>
        <w:spacing w:line="500" w:lineRule="exact"/>
        <w:jc w:val="center"/>
        <w:rPr>
          <w:rFonts w:ascii="宋体" w:hAnsi="宋体"/>
          <w:b/>
          <w:kern w:val="0"/>
          <w:sz w:val="44"/>
          <w:szCs w:val="44"/>
        </w:rPr>
      </w:pPr>
      <w:r>
        <w:rPr>
          <w:rFonts w:hint="eastAsia" w:ascii="宋体" w:hAnsi="宋体"/>
          <w:b/>
          <w:kern w:val="0"/>
          <w:sz w:val="44"/>
          <w:szCs w:val="44"/>
        </w:rPr>
        <w:t xml:space="preserve"> 粮食竞价采购交易合同</w:t>
      </w:r>
    </w:p>
    <w:p w14:paraId="4B414765">
      <w:pPr>
        <w:autoSpaceDE w:val="0"/>
        <w:autoSpaceDN w:val="0"/>
        <w:adjustRightInd w:val="0"/>
        <w:spacing w:line="440" w:lineRule="exact"/>
        <w:rPr>
          <w:rFonts w:hint="eastAsia" w:ascii="宋体" w:hAnsi="宋体"/>
          <w:kern w:val="0"/>
          <w:sz w:val="30"/>
          <w:szCs w:val="30"/>
        </w:rPr>
      </w:pPr>
    </w:p>
    <w:p w14:paraId="587ED669">
      <w:pPr>
        <w:autoSpaceDE w:val="0"/>
        <w:autoSpaceDN w:val="0"/>
        <w:adjustRightInd w:val="0"/>
        <w:spacing w:line="440" w:lineRule="exact"/>
        <w:rPr>
          <w:rFonts w:ascii="宋体" w:hAnsi="宋体"/>
          <w:kern w:val="0"/>
          <w:sz w:val="30"/>
          <w:szCs w:val="30"/>
        </w:rPr>
      </w:pPr>
      <w:r>
        <w:rPr>
          <w:rFonts w:hint="eastAsia" w:ascii="宋体" w:hAnsi="宋体"/>
          <w:kern w:val="0"/>
          <w:sz w:val="30"/>
          <w:szCs w:val="30"/>
        </w:rPr>
        <w:t>合同编号：</w:t>
      </w:r>
    </w:p>
    <w:p w14:paraId="5EC1E2B8">
      <w:pPr>
        <w:autoSpaceDE w:val="0"/>
        <w:autoSpaceDN w:val="0"/>
        <w:adjustRightInd w:val="0"/>
        <w:spacing w:line="440" w:lineRule="exact"/>
        <w:rPr>
          <w:rFonts w:ascii="宋体" w:hAnsi="宋体"/>
          <w:kern w:val="0"/>
          <w:sz w:val="30"/>
          <w:szCs w:val="30"/>
        </w:rPr>
      </w:pPr>
      <w:r>
        <w:rPr>
          <w:rFonts w:hint="eastAsia" w:ascii="宋体" w:hAnsi="宋体"/>
          <w:kern w:val="0"/>
          <w:sz w:val="30"/>
          <w:szCs w:val="30"/>
        </w:rPr>
        <w:t>买方全称：</w:t>
      </w:r>
      <w:r>
        <w:rPr>
          <w:rFonts w:hint="eastAsia" w:ascii="宋体" w:hAnsi="宋体"/>
          <w:kern w:val="0"/>
          <w:sz w:val="30"/>
          <w:szCs w:val="30"/>
          <w:lang w:eastAsia="zh-CN"/>
        </w:rPr>
        <w:t>大埔</w:t>
      </w:r>
      <w:r>
        <w:rPr>
          <w:rFonts w:hint="eastAsia" w:ascii="宋体" w:hAnsi="宋体"/>
          <w:kern w:val="0"/>
          <w:sz w:val="30"/>
          <w:szCs w:val="30"/>
        </w:rPr>
        <w:t>县</w:t>
      </w:r>
      <w:r>
        <w:rPr>
          <w:rFonts w:hint="eastAsia" w:ascii="宋体" w:hAnsi="宋体"/>
          <w:kern w:val="0"/>
          <w:sz w:val="30"/>
          <w:szCs w:val="30"/>
          <w:lang w:eastAsia="zh-CN"/>
        </w:rPr>
        <w:t>兴丰</w:t>
      </w:r>
      <w:r>
        <w:rPr>
          <w:rFonts w:hint="eastAsia" w:ascii="宋体" w:hAnsi="宋体"/>
          <w:kern w:val="0"/>
          <w:sz w:val="30"/>
          <w:szCs w:val="30"/>
        </w:rPr>
        <w:t>粮食收储有限公司</w:t>
      </w:r>
    </w:p>
    <w:p w14:paraId="5EAA93C7">
      <w:pPr>
        <w:autoSpaceDE w:val="0"/>
        <w:autoSpaceDN w:val="0"/>
        <w:adjustRightInd w:val="0"/>
        <w:spacing w:line="440" w:lineRule="exact"/>
        <w:rPr>
          <w:rFonts w:ascii="宋体" w:hAnsi="宋体"/>
          <w:kern w:val="0"/>
          <w:sz w:val="24"/>
        </w:rPr>
      </w:pPr>
      <w:r>
        <w:rPr>
          <w:rFonts w:hint="eastAsia" w:ascii="宋体" w:hAnsi="宋体"/>
          <w:kern w:val="0"/>
          <w:sz w:val="30"/>
          <w:szCs w:val="30"/>
        </w:rPr>
        <w:t>卖方全称：</w:t>
      </w:r>
      <w:r>
        <w:rPr>
          <w:rFonts w:ascii="宋体" w:hAnsi="宋体"/>
          <w:kern w:val="0"/>
          <w:sz w:val="24"/>
        </w:rPr>
        <w:t xml:space="preserve"> </w:t>
      </w:r>
    </w:p>
    <w:p w14:paraId="0D89F037">
      <w:pPr>
        <w:autoSpaceDE w:val="0"/>
        <w:autoSpaceDN w:val="0"/>
        <w:adjustRightInd w:val="0"/>
        <w:spacing w:line="50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一、</w:t>
      </w:r>
      <w:r>
        <w:rPr>
          <w:rFonts w:hint="eastAsia" w:ascii="宋体" w:hAnsi="宋体"/>
          <w:b/>
          <w:bCs/>
          <w:kern w:val="0"/>
          <w:sz w:val="24"/>
        </w:rPr>
        <w:t>成交标的</w:t>
      </w:r>
      <w:r>
        <w:rPr>
          <w:rFonts w:hint="eastAsia" w:ascii="宋体" w:hAnsi="宋体"/>
          <w:kern w:val="0"/>
          <w:sz w:val="24"/>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71"/>
        <w:gridCol w:w="1276"/>
        <w:gridCol w:w="2556"/>
      </w:tblGrid>
      <w:tr w14:paraId="429B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516BD744">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标的号</w:t>
            </w:r>
          </w:p>
        </w:tc>
        <w:tc>
          <w:tcPr>
            <w:tcW w:w="3471" w:type="dxa"/>
            <w:tcBorders>
              <w:top w:val="single" w:color="auto" w:sz="4" w:space="0"/>
              <w:left w:val="single" w:color="auto" w:sz="4" w:space="0"/>
              <w:bottom w:val="single" w:color="auto" w:sz="4" w:space="0"/>
              <w:right w:val="single" w:color="auto" w:sz="4" w:space="0"/>
            </w:tcBorders>
            <w:vAlign w:val="center"/>
          </w:tcPr>
          <w:p w14:paraId="6DEAEDA0">
            <w:pPr>
              <w:pStyle w:val="3"/>
              <w:spacing w:line="240" w:lineRule="auto"/>
              <w:ind w:firstLine="0" w:firstLineChars="0"/>
              <w:jc w:val="left"/>
              <w:rPr>
                <w:rFonts w:hint="default" w:ascii="宋体" w:hAnsi="宋体" w:eastAsia="宋体"/>
                <w:color w:val="auto"/>
                <w:kern w:val="2"/>
                <w:sz w:val="24"/>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7B592BFF">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生产年度</w:t>
            </w:r>
          </w:p>
        </w:tc>
        <w:tc>
          <w:tcPr>
            <w:tcW w:w="2556" w:type="dxa"/>
            <w:tcBorders>
              <w:top w:val="single" w:color="auto" w:sz="4" w:space="0"/>
              <w:left w:val="single" w:color="auto" w:sz="4" w:space="0"/>
              <w:bottom w:val="single" w:color="auto" w:sz="4" w:space="0"/>
              <w:right w:val="single" w:color="auto" w:sz="4" w:space="0"/>
            </w:tcBorders>
            <w:vAlign w:val="center"/>
          </w:tcPr>
          <w:p w14:paraId="65D0ED7A">
            <w:pPr>
              <w:pStyle w:val="3"/>
              <w:spacing w:line="240" w:lineRule="auto"/>
              <w:ind w:firstLine="0" w:firstLineChars="0"/>
              <w:jc w:val="left"/>
              <w:rPr>
                <w:rFonts w:ascii="宋体" w:hAnsi="宋体" w:eastAsia="宋体"/>
                <w:color w:val="auto"/>
                <w:kern w:val="2"/>
                <w:sz w:val="24"/>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p>
        </w:tc>
      </w:tr>
      <w:tr w14:paraId="33D9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3F302E1">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品种</w:t>
            </w:r>
          </w:p>
        </w:tc>
        <w:tc>
          <w:tcPr>
            <w:tcW w:w="3471" w:type="dxa"/>
            <w:tcBorders>
              <w:top w:val="single" w:color="auto" w:sz="4" w:space="0"/>
              <w:left w:val="single" w:color="auto" w:sz="4" w:space="0"/>
              <w:bottom w:val="single" w:color="auto" w:sz="4" w:space="0"/>
              <w:right w:val="single" w:color="auto" w:sz="4" w:space="0"/>
            </w:tcBorders>
            <w:vAlign w:val="center"/>
          </w:tcPr>
          <w:p w14:paraId="79457DC1">
            <w:pPr>
              <w:pStyle w:val="3"/>
              <w:spacing w:line="240" w:lineRule="auto"/>
              <w:ind w:firstLine="0" w:firstLineChars="0"/>
              <w:jc w:val="left"/>
              <w:rPr>
                <w:rFonts w:ascii="宋体" w:hAnsi="宋体" w:eastAsia="宋体"/>
                <w:color w:val="auto"/>
                <w:kern w:val="2"/>
                <w:sz w:val="24"/>
              </w:rPr>
            </w:pPr>
            <w:r>
              <w:rPr>
                <w:rFonts w:hint="eastAsia" w:ascii="宋体" w:hAnsi="宋体" w:eastAsia="宋体"/>
                <w:color w:val="auto"/>
                <w:kern w:val="2"/>
                <w:sz w:val="24"/>
              </w:rPr>
              <w:t>早籼稻谷</w:t>
            </w:r>
          </w:p>
        </w:tc>
        <w:tc>
          <w:tcPr>
            <w:tcW w:w="1276" w:type="dxa"/>
            <w:tcBorders>
              <w:top w:val="single" w:color="auto" w:sz="4" w:space="0"/>
              <w:left w:val="single" w:color="auto" w:sz="4" w:space="0"/>
              <w:bottom w:val="single" w:color="auto" w:sz="4" w:space="0"/>
              <w:right w:val="single" w:color="auto" w:sz="4" w:space="0"/>
            </w:tcBorders>
            <w:vAlign w:val="center"/>
          </w:tcPr>
          <w:p w14:paraId="306D0E4D">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数量</w:t>
            </w:r>
          </w:p>
        </w:tc>
        <w:tc>
          <w:tcPr>
            <w:tcW w:w="2556" w:type="dxa"/>
            <w:tcBorders>
              <w:top w:val="single" w:color="auto" w:sz="4" w:space="0"/>
              <w:left w:val="single" w:color="auto" w:sz="4" w:space="0"/>
              <w:bottom w:val="single" w:color="auto" w:sz="4" w:space="0"/>
              <w:right w:val="single" w:color="auto" w:sz="4" w:space="0"/>
            </w:tcBorders>
            <w:vAlign w:val="center"/>
          </w:tcPr>
          <w:p w14:paraId="054CED2B">
            <w:pPr>
              <w:pStyle w:val="3"/>
              <w:spacing w:line="240" w:lineRule="auto"/>
              <w:ind w:left="0" w:leftChars="0" w:firstLine="0" w:firstLineChars="0"/>
              <w:jc w:val="left"/>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XXXX吨</w:t>
            </w:r>
          </w:p>
        </w:tc>
      </w:tr>
      <w:tr w14:paraId="60D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80BE295">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等级</w:t>
            </w:r>
          </w:p>
        </w:tc>
        <w:tc>
          <w:tcPr>
            <w:tcW w:w="3471" w:type="dxa"/>
            <w:tcBorders>
              <w:top w:val="single" w:color="auto" w:sz="4" w:space="0"/>
              <w:left w:val="single" w:color="auto" w:sz="4" w:space="0"/>
              <w:bottom w:val="single" w:color="auto" w:sz="4" w:space="0"/>
              <w:right w:val="single" w:color="auto" w:sz="4" w:space="0"/>
            </w:tcBorders>
            <w:vAlign w:val="center"/>
          </w:tcPr>
          <w:p w14:paraId="23BD0526">
            <w:pPr>
              <w:pStyle w:val="3"/>
              <w:spacing w:line="240" w:lineRule="auto"/>
              <w:ind w:firstLine="0" w:firstLineChars="0"/>
              <w:jc w:val="left"/>
              <w:rPr>
                <w:rFonts w:ascii="宋体" w:hAnsi="宋体" w:eastAsia="宋体"/>
                <w:color w:val="auto"/>
                <w:kern w:val="2"/>
                <w:sz w:val="24"/>
              </w:rPr>
            </w:pPr>
            <w:r>
              <w:rPr>
                <w:rFonts w:hint="eastAsia" w:ascii="宋体" w:hAnsi="宋体" w:eastAsia="宋体"/>
                <w:color w:val="auto"/>
                <w:kern w:val="2"/>
                <w:sz w:val="24"/>
              </w:rPr>
              <w:t>三级</w:t>
            </w:r>
          </w:p>
        </w:tc>
        <w:tc>
          <w:tcPr>
            <w:tcW w:w="1276" w:type="dxa"/>
            <w:tcBorders>
              <w:top w:val="single" w:color="auto" w:sz="4" w:space="0"/>
              <w:left w:val="single" w:color="auto" w:sz="4" w:space="0"/>
              <w:bottom w:val="single" w:color="auto" w:sz="4" w:space="0"/>
              <w:right w:val="single" w:color="auto" w:sz="4" w:space="0"/>
            </w:tcBorders>
            <w:vAlign w:val="center"/>
          </w:tcPr>
          <w:p w14:paraId="4DFFC246">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单价</w:t>
            </w:r>
          </w:p>
        </w:tc>
        <w:tc>
          <w:tcPr>
            <w:tcW w:w="2556" w:type="dxa"/>
            <w:tcBorders>
              <w:top w:val="single" w:color="auto" w:sz="4" w:space="0"/>
              <w:left w:val="single" w:color="auto" w:sz="4" w:space="0"/>
              <w:bottom w:val="single" w:color="auto" w:sz="4" w:space="0"/>
              <w:right w:val="single" w:color="auto" w:sz="4" w:space="0"/>
            </w:tcBorders>
            <w:vAlign w:val="center"/>
          </w:tcPr>
          <w:p w14:paraId="1F5183FB">
            <w:pPr>
              <w:pStyle w:val="3"/>
              <w:spacing w:line="240" w:lineRule="auto"/>
              <w:ind w:left="0" w:leftChars="0" w:firstLine="0" w:firstLineChars="0"/>
              <w:jc w:val="left"/>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XXXX元/吨</w:t>
            </w:r>
          </w:p>
        </w:tc>
      </w:tr>
      <w:tr w14:paraId="1E83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17DE286">
            <w:pPr>
              <w:pStyle w:val="3"/>
              <w:spacing w:line="240" w:lineRule="auto"/>
              <w:ind w:firstLine="0" w:firstLineChars="0"/>
              <w:jc w:val="center"/>
              <w:rPr>
                <w:rFonts w:ascii="宋体" w:hAnsi="宋体" w:eastAsia="宋体"/>
                <w:b/>
                <w:bCs/>
                <w:color w:val="000000" w:themeColor="text1"/>
                <w:kern w:val="2"/>
                <w:sz w:val="24"/>
                <w14:textFill>
                  <w14:solidFill>
                    <w14:schemeClr w14:val="tx1"/>
                  </w14:solidFill>
                </w14:textFill>
              </w:rPr>
            </w:pPr>
            <w:r>
              <w:rPr>
                <w:rFonts w:hint="eastAsia" w:ascii="宋体" w:hAnsi="宋体" w:eastAsia="宋体"/>
                <w:b/>
                <w:bCs/>
                <w:color w:val="000000" w:themeColor="text1"/>
                <w:kern w:val="2"/>
                <w:sz w:val="24"/>
                <w14:textFill>
                  <w14:solidFill>
                    <w14:schemeClr w14:val="tx1"/>
                  </w14:solidFill>
                </w14:textFill>
              </w:rPr>
              <w:t>产地</w:t>
            </w:r>
          </w:p>
        </w:tc>
        <w:tc>
          <w:tcPr>
            <w:tcW w:w="3471" w:type="dxa"/>
            <w:tcBorders>
              <w:top w:val="single" w:color="auto" w:sz="4" w:space="0"/>
              <w:left w:val="single" w:color="auto" w:sz="4" w:space="0"/>
              <w:bottom w:val="single" w:color="auto" w:sz="4" w:space="0"/>
              <w:right w:val="single" w:color="auto" w:sz="4" w:space="0"/>
            </w:tcBorders>
            <w:vAlign w:val="center"/>
          </w:tcPr>
          <w:p w14:paraId="68049E28">
            <w:pPr>
              <w:pStyle w:val="3"/>
              <w:spacing w:line="240" w:lineRule="auto"/>
              <w:ind w:firstLine="0" w:firstLineChars="0"/>
              <w:jc w:val="left"/>
              <w:rPr>
                <w:rFonts w:hint="eastAsia" w:ascii="宋体" w:hAnsi="宋体" w:eastAsia="宋体"/>
                <w:color w:val="000000" w:themeColor="text1"/>
                <w:kern w:val="2"/>
                <w:sz w:val="24"/>
                <w:lang w:eastAsia="zh-CN"/>
                <w14:textFill>
                  <w14:solidFill>
                    <w14:schemeClr w14:val="tx1"/>
                  </w14:solidFill>
                </w14:textFill>
              </w:rPr>
            </w:pPr>
            <w:r>
              <w:rPr>
                <w:rFonts w:hint="eastAsia" w:ascii="宋体" w:hAnsi="宋体" w:eastAsia="宋体"/>
                <w:color w:val="000000" w:themeColor="text1"/>
                <w:kern w:val="2"/>
                <w:sz w:val="24"/>
                <w14:textFill>
                  <w14:solidFill>
                    <w14:schemeClr w14:val="tx1"/>
                  </w14:solidFill>
                </w14:textFill>
              </w:rPr>
              <w:t>广东、江西</w:t>
            </w:r>
          </w:p>
        </w:tc>
        <w:tc>
          <w:tcPr>
            <w:tcW w:w="1276" w:type="dxa"/>
            <w:tcBorders>
              <w:top w:val="single" w:color="auto" w:sz="4" w:space="0"/>
              <w:left w:val="single" w:color="auto" w:sz="4" w:space="0"/>
              <w:bottom w:val="single" w:color="auto" w:sz="4" w:space="0"/>
              <w:right w:val="single" w:color="auto" w:sz="4" w:space="0"/>
            </w:tcBorders>
            <w:vAlign w:val="center"/>
          </w:tcPr>
          <w:p w14:paraId="188D1411">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总金额</w:t>
            </w:r>
          </w:p>
        </w:tc>
        <w:tc>
          <w:tcPr>
            <w:tcW w:w="2556" w:type="dxa"/>
            <w:tcBorders>
              <w:top w:val="single" w:color="auto" w:sz="4" w:space="0"/>
              <w:left w:val="single" w:color="auto" w:sz="4" w:space="0"/>
              <w:bottom w:val="single" w:color="auto" w:sz="4" w:space="0"/>
              <w:right w:val="single" w:color="auto" w:sz="4" w:space="0"/>
            </w:tcBorders>
            <w:vAlign w:val="center"/>
          </w:tcPr>
          <w:p w14:paraId="41865EC1">
            <w:pPr>
              <w:pStyle w:val="3"/>
              <w:spacing w:line="240" w:lineRule="auto"/>
              <w:ind w:firstLine="0" w:firstLineChars="0"/>
              <w:jc w:val="left"/>
              <w:rPr>
                <w:rFonts w:hint="default" w:ascii="宋体" w:hAnsi="宋体" w:eastAsia="宋体"/>
                <w:color w:val="auto"/>
                <w:kern w:val="2"/>
                <w:sz w:val="24"/>
                <w:highlight w:val="yellow"/>
                <w:lang w:val="en-US" w:eastAsia="zh-CN"/>
              </w:rPr>
            </w:pPr>
            <w:r>
              <w:rPr>
                <w:rFonts w:hint="eastAsia" w:ascii="宋体" w:hAnsi="宋体" w:eastAsia="宋体"/>
                <w:color w:val="auto"/>
                <w:kern w:val="2"/>
                <w:sz w:val="24"/>
                <w:lang w:val="en-US" w:eastAsia="zh-CN"/>
              </w:rPr>
              <w:t>XXXX</w:t>
            </w:r>
            <w:r>
              <w:rPr>
                <w:rFonts w:hint="eastAsia" w:ascii="宋体" w:hAnsi="宋体" w:eastAsia="宋体"/>
                <w:color w:val="auto"/>
                <w:kern w:val="2"/>
                <w:sz w:val="24"/>
                <w:highlight w:val="none"/>
                <w:lang w:val="en-US" w:eastAsia="zh-CN"/>
              </w:rPr>
              <w:t>元</w:t>
            </w:r>
          </w:p>
        </w:tc>
      </w:tr>
      <w:tr w14:paraId="3A7B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C81A930">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52A97193">
            <w:pPr>
              <w:pStyle w:val="3"/>
              <w:spacing w:line="300" w:lineRule="exact"/>
              <w:ind w:firstLine="0" w:firstLineChars="0"/>
              <w:rPr>
                <w:rFonts w:ascii="宋体" w:hAnsi="宋体" w:eastAsia="宋体"/>
                <w:color w:val="auto"/>
                <w:kern w:val="2"/>
                <w:sz w:val="24"/>
              </w:rPr>
            </w:pPr>
            <w:r>
              <w:rPr>
                <w:rFonts w:hint="eastAsia" w:ascii="宋体" w:hAnsi="宋体" w:eastAsia="宋体"/>
                <w:color w:val="auto"/>
                <w:kern w:val="2"/>
                <w:sz w:val="24"/>
              </w:rPr>
              <w:t>仓</w:t>
            </w:r>
            <w:r>
              <w:rPr>
                <w:rFonts w:hint="eastAsia" w:ascii="宋体" w:hAnsi="宋体" w:eastAsia="宋体"/>
                <w:color w:val="auto"/>
                <w:sz w:val="24"/>
              </w:rPr>
              <w:t>内堆好交货</w:t>
            </w:r>
          </w:p>
        </w:tc>
      </w:tr>
      <w:tr w14:paraId="521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13967214">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7372709D">
            <w:pPr>
              <w:pStyle w:val="3"/>
              <w:spacing w:line="300" w:lineRule="exact"/>
              <w:ind w:firstLine="0" w:firstLineChars="0"/>
              <w:rPr>
                <w:rFonts w:ascii="宋体" w:hAnsi="宋体" w:eastAsia="宋体"/>
                <w:color w:val="auto"/>
                <w:kern w:val="2"/>
                <w:sz w:val="24"/>
              </w:rPr>
            </w:pPr>
            <w:r>
              <w:rPr>
                <w:rFonts w:hint="eastAsia" w:ascii="宋体" w:hAnsi="宋体" w:eastAsia="宋体"/>
                <w:color w:val="auto"/>
                <w:kern w:val="2"/>
                <w:sz w:val="24"/>
              </w:rPr>
              <w:t>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日至202</w:t>
            </w:r>
            <w:r>
              <w:rPr>
                <w:rFonts w:hint="eastAsia" w:ascii="宋体" w:hAnsi="宋体" w:eastAsia="宋体"/>
                <w:color w:val="auto"/>
                <w:kern w:val="2"/>
                <w:sz w:val="24"/>
                <w:lang w:val="en-US" w:eastAsia="zh-CN"/>
              </w:rPr>
              <w:t>5</w:t>
            </w:r>
            <w:r>
              <w:rPr>
                <w:rFonts w:hint="eastAsia" w:ascii="宋体" w:hAnsi="宋体" w:eastAsia="宋体"/>
                <w:color w:val="auto"/>
                <w:kern w:val="2"/>
                <w:sz w:val="24"/>
              </w:rPr>
              <w:t>年</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月</w:t>
            </w:r>
            <w:r>
              <w:rPr>
                <w:rFonts w:hint="eastAsia" w:ascii="宋体" w:hAnsi="宋体" w:eastAsia="宋体"/>
                <w:color w:val="auto"/>
                <w:kern w:val="2"/>
                <w:sz w:val="24"/>
                <w:lang w:val="en-US" w:eastAsia="zh-CN"/>
              </w:rPr>
              <w:t>XX</w:t>
            </w:r>
            <w:r>
              <w:rPr>
                <w:rFonts w:hint="eastAsia" w:ascii="宋体" w:hAnsi="宋体" w:eastAsia="宋体"/>
                <w:color w:val="auto"/>
                <w:kern w:val="2"/>
                <w:sz w:val="24"/>
              </w:rPr>
              <w:t>日</w:t>
            </w:r>
          </w:p>
        </w:tc>
      </w:tr>
      <w:tr w14:paraId="324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D5B70D3">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B9E0FA7">
            <w:pPr>
              <w:pStyle w:val="3"/>
              <w:spacing w:line="300" w:lineRule="exact"/>
              <w:ind w:firstLine="0" w:firstLineChars="0"/>
              <w:rPr>
                <w:rFonts w:hint="default" w:ascii="宋体" w:hAnsi="宋体" w:eastAsia="宋体"/>
                <w:color w:val="auto"/>
                <w:kern w:val="2"/>
                <w:sz w:val="24"/>
                <w:lang w:val="en-US" w:eastAsia="zh-CN"/>
              </w:rPr>
            </w:pPr>
            <w:r>
              <w:rPr>
                <w:rFonts w:hint="eastAsia" w:ascii="宋体" w:hAnsi="宋体" w:eastAsia="宋体"/>
                <w:color w:val="auto"/>
                <w:kern w:val="2"/>
                <w:sz w:val="24"/>
                <w:lang w:val="en-US" w:eastAsia="zh-CN"/>
              </w:rPr>
              <w:t>五虎山粮库</w:t>
            </w:r>
          </w:p>
        </w:tc>
      </w:tr>
      <w:tr w14:paraId="60BC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1463B7C6">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2F6869C">
            <w:pPr>
              <w:pStyle w:val="3"/>
              <w:spacing w:line="300" w:lineRule="exact"/>
              <w:ind w:firstLine="0" w:firstLineChars="0"/>
              <w:rPr>
                <w:rFonts w:hint="eastAsia" w:ascii="宋体" w:hAnsi="宋体" w:eastAsia="宋体"/>
                <w:color w:val="auto"/>
                <w:sz w:val="24"/>
                <w:lang w:eastAsia="zh-CN"/>
              </w:rPr>
            </w:pPr>
            <w:r>
              <w:rPr>
                <w:rFonts w:hint="eastAsia" w:ascii="宋体" w:hAnsi="宋体" w:eastAsia="宋体"/>
                <w:sz w:val="24"/>
              </w:rPr>
              <w:t>包装：标旧麻袋包装（无补丁、不破不漏），70公斤∕包，双麻线交叉缝口9—11针，两角扎成马耳；包装物由卖方提供，包装随粮作货不计价、不计重、不回收。</w:t>
            </w:r>
          </w:p>
        </w:tc>
      </w:tr>
      <w:tr w14:paraId="103A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A1FCB62">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质量</w:t>
            </w:r>
          </w:p>
          <w:p w14:paraId="1A273062">
            <w:pPr>
              <w:pStyle w:val="3"/>
              <w:spacing w:line="240" w:lineRule="auto"/>
              <w:ind w:firstLine="0" w:firstLineChars="0"/>
              <w:jc w:val="center"/>
              <w:rPr>
                <w:rFonts w:ascii="宋体" w:hAnsi="宋体" w:eastAsia="宋体"/>
                <w:b/>
                <w:bCs/>
                <w:color w:val="auto"/>
                <w:kern w:val="2"/>
                <w:sz w:val="24"/>
              </w:rPr>
            </w:pPr>
            <w:r>
              <w:rPr>
                <w:rFonts w:hint="eastAsia" w:ascii="宋体" w:hAnsi="宋体" w:eastAsia="宋体"/>
                <w:b/>
                <w:bCs/>
                <w:color w:val="auto"/>
                <w:kern w:val="2"/>
                <w:sz w:val="24"/>
              </w:rPr>
              <w:t>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14:paraId="0FA66FDE">
            <w:pPr>
              <w:pStyle w:val="3"/>
              <w:spacing w:line="300" w:lineRule="exact"/>
              <w:ind w:firstLine="0" w:firstLineChars="0"/>
              <w:rPr>
                <w:rFonts w:ascii="宋体" w:hAnsi="宋体" w:eastAsia="宋体"/>
                <w:color w:val="auto"/>
                <w:kern w:val="2"/>
                <w:sz w:val="24"/>
              </w:rPr>
            </w:pPr>
            <w:r>
              <w:rPr>
                <w:rFonts w:hint="eastAsia" w:ascii="宋体" w:hAnsi="宋体" w:eastAsia="宋体" w:cs="宋体"/>
                <w:color w:val="auto"/>
                <w:sz w:val="24"/>
              </w:rPr>
              <w:t>执行</w:t>
            </w:r>
            <w:r>
              <w:rPr>
                <w:rFonts w:ascii="宋体" w:hAnsi="宋体" w:eastAsia="宋体" w:cs="宋体"/>
                <w:color w:val="auto"/>
                <w:sz w:val="24"/>
              </w:rPr>
              <w:t>GB1350-2009</w:t>
            </w:r>
            <w:r>
              <w:rPr>
                <w:rFonts w:hint="eastAsia" w:ascii="宋体" w:hAnsi="宋体" w:eastAsia="宋体" w:cs="宋体"/>
                <w:color w:val="auto"/>
                <w:sz w:val="24"/>
              </w:rPr>
              <w:t>早籼三级稻谷（含三级）以上标准，质量检测主要指标达到：出糙率≥</w:t>
            </w:r>
            <w:r>
              <w:rPr>
                <w:rFonts w:ascii="宋体" w:hAnsi="宋体" w:eastAsia="宋体" w:cs="宋体"/>
                <w:color w:val="auto"/>
                <w:sz w:val="24"/>
              </w:rPr>
              <w:t>75.0%</w:t>
            </w:r>
            <w:r>
              <w:rPr>
                <w:rFonts w:hint="eastAsia" w:ascii="宋体" w:hAnsi="宋体" w:eastAsia="宋体" w:cs="宋体"/>
                <w:color w:val="auto"/>
                <w:sz w:val="24"/>
              </w:rPr>
              <w:t>，整精米率≥</w:t>
            </w:r>
            <w:r>
              <w:rPr>
                <w:rFonts w:ascii="宋体" w:hAnsi="宋体" w:eastAsia="宋体" w:cs="宋体"/>
                <w:color w:val="auto"/>
                <w:sz w:val="24"/>
              </w:rPr>
              <w:t>44.0%</w:t>
            </w:r>
            <w:r>
              <w:rPr>
                <w:rFonts w:hint="eastAsia" w:ascii="宋体" w:hAnsi="宋体" w:eastAsia="宋体" w:cs="宋体"/>
                <w:color w:val="auto"/>
                <w:sz w:val="24"/>
              </w:rPr>
              <w:t>，杂质≤</w:t>
            </w:r>
            <w:r>
              <w:rPr>
                <w:rFonts w:ascii="宋体" w:hAnsi="宋体" w:eastAsia="宋体" w:cs="宋体"/>
                <w:color w:val="auto"/>
                <w:sz w:val="24"/>
              </w:rPr>
              <w:t>1.0%</w:t>
            </w:r>
            <w:r>
              <w:rPr>
                <w:rFonts w:hint="eastAsia" w:ascii="宋体" w:hAnsi="宋体" w:eastAsia="宋体" w:cs="宋体"/>
                <w:color w:val="auto"/>
                <w:sz w:val="24"/>
              </w:rPr>
              <w:t>，水分≤</w:t>
            </w:r>
            <w:r>
              <w:rPr>
                <w:rFonts w:ascii="宋体" w:hAnsi="宋体" w:eastAsia="宋体" w:cs="宋体"/>
                <w:color w:val="auto"/>
                <w:sz w:val="24"/>
              </w:rPr>
              <w:t>13.</w:t>
            </w:r>
            <w:r>
              <w:rPr>
                <w:rFonts w:hint="eastAsia" w:ascii="宋体" w:hAnsi="宋体" w:eastAsia="宋体" w:cs="宋体"/>
                <w:color w:val="auto"/>
                <w:sz w:val="24"/>
                <w:lang w:val="en-US" w:eastAsia="zh-CN"/>
              </w:rPr>
              <w:t>0</w:t>
            </w:r>
            <w:r>
              <w:rPr>
                <w:rFonts w:ascii="宋体" w:hAnsi="宋体" w:eastAsia="宋体" w:cs="宋体"/>
                <w:color w:val="auto"/>
                <w:sz w:val="24"/>
              </w:rPr>
              <w:t>%</w:t>
            </w:r>
            <w:r>
              <w:rPr>
                <w:rFonts w:hint="eastAsia" w:ascii="宋体" w:hAnsi="宋体" w:eastAsia="宋体" w:cs="宋体"/>
                <w:color w:val="auto"/>
                <w:sz w:val="24"/>
              </w:rPr>
              <w:t>，黄粒米≤</w:t>
            </w:r>
            <w:r>
              <w:rPr>
                <w:rFonts w:ascii="宋体" w:hAnsi="宋体" w:eastAsia="宋体" w:cs="宋体"/>
                <w:color w:val="auto"/>
                <w:sz w:val="24"/>
              </w:rPr>
              <w:t>1.0%</w:t>
            </w:r>
            <w:r>
              <w:rPr>
                <w:rFonts w:hint="eastAsia" w:ascii="宋体" w:hAnsi="宋体" w:eastAsia="宋体" w:cs="宋体"/>
                <w:color w:val="auto"/>
                <w:sz w:val="24"/>
              </w:rPr>
              <w:t>，谷外糙米</w:t>
            </w:r>
            <w:r>
              <w:rPr>
                <w:rFonts w:ascii="宋体" w:hAnsi="宋体" w:eastAsia="宋体" w:cs="宋体"/>
                <w:color w:val="auto"/>
                <w:sz w:val="24"/>
              </w:rPr>
              <w:t xml:space="preserve"> </w:t>
            </w:r>
            <w:r>
              <w:rPr>
                <w:rFonts w:hint="eastAsia" w:ascii="宋体" w:hAnsi="宋体" w:eastAsia="宋体" w:cs="宋体"/>
                <w:color w:val="auto"/>
                <w:sz w:val="24"/>
              </w:rPr>
              <w:t>≤</w:t>
            </w:r>
            <w:r>
              <w:rPr>
                <w:rFonts w:ascii="宋体" w:hAnsi="宋体" w:eastAsia="宋体" w:cs="宋体"/>
                <w:color w:val="auto"/>
                <w:sz w:val="24"/>
              </w:rPr>
              <w:t>2.0 %</w:t>
            </w:r>
            <w:r>
              <w:rPr>
                <w:rFonts w:hint="eastAsia" w:ascii="宋体" w:hAnsi="宋体" w:eastAsia="宋体" w:cs="宋体"/>
                <w:color w:val="auto"/>
                <w:sz w:val="24"/>
              </w:rPr>
              <w:t>，互混率≤</w:t>
            </w:r>
            <w:r>
              <w:rPr>
                <w:rFonts w:ascii="宋体" w:hAnsi="宋体" w:eastAsia="宋体" w:cs="宋体"/>
                <w:color w:val="auto"/>
                <w:sz w:val="24"/>
              </w:rPr>
              <w:t>5.0%</w:t>
            </w:r>
            <w:r>
              <w:rPr>
                <w:rFonts w:hint="eastAsia" w:ascii="宋体" w:hAnsi="宋体" w:eastAsia="宋体" w:cs="宋体"/>
                <w:color w:val="auto"/>
                <w:sz w:val="24"/>
              </w:rPr>
              <w:t>，镉≤</w:t>
            </w:r>
            <w:r>
              <w:rPr>
                <w:rFonts w:ascii="宋体" w:hAnsi="宋体" w:eastAsia="宋体" w:cs="宋体"/>
                <w:color w:val="auto"/>
                <w:sz w:val="24"/>
              </w:rPr>
              <w:t>0.2mg/kg</w:t>
            </w:r>
            <w:r>
              <w:rPr>
                <w:rFonts w:hint="eastAsia" w:ascii="宋体" w:hAnsi="宋体" w:eastAsia="宋体" w:cs="宋体"/>
                <w:color w:val="auto"/>
                <w:sz w:val="24"/>
              </w:rPr>
              <w:t>，脂肪酸值≤18.5</w:t>
            </w:r>
            <w:r>
              <w:rPr>
                <w:rFonts w:ascii="宋体" w:hAnsi="宋体" w:eastAsia="宋体" w:cs="宋体"/>
                <w:color w:val="auto"/>
                <w:sz w:val="24"/>
              </w:rPr>
              <w:t>mgKOH/100g</w:t>
            </w:r>
            <w:r>
              <w:rPr>
                <w:rFonts w:hint="eastAsia" w:ascii="宋体" w:hAnsi="宋体" w:eastAsia="宋体" w:cs="宋体"/>
                <w:color w:val="auto"/>
                <w:sz w:val="24"/>
              </w:rPr>
              <w:t>。色泽气味正常，无虫害，符合国家粮食卫生标准。</w:t>
            </w:r>
            <w:r>
              <w:rPr>
                <w:rFonts w:hint="eastAsia" w:ascii="宋体" w:hAnsi="宋体" w:eastAsia="宋体"/>
                <w:color w:val="auto"/>
                <w:kern w:val="2"/>
                <w:sz w:val="24"/>
              </w:rPr>
              <w:t>拒收泥谷、水浸谷、生芽谷。</w:t>
            </w:r>
          </w:p>
        </w:tc>
      </w:tr>
    </w:tbl>
    <w:p w14:paraId="223D0D94">
      <w:pPr>
        <w:numPr>
          <w:ilvl w:val="0"/>
          <w:numId w:val="1"/>
        </w:numPr>
        <w:autoSpaceDE w:val="0"/>
        <w:autoSpaceDN w:val="0"/>
        <w:adjustRightInd w:val="0"/>
        <w:spacing w:line="480" w:lineRule="exact"/>
        <w:ind w:firstLine="482" w:firstLineChars="200"/>
        <w:rPr>
          <w:rFonts w:hint="eastAsia" w:ascii="宋体" w:hAnsi="宋体"/>
          <w:color w:val="auto"/>
          <w:kern w:val="0"/>
          <w:sz w:val="24"/>
        </w:rPr>
      </w:pPr>
      <w:r>
        <w:rPr>
          <w:rFonts w:hint="eastAsia" w:ascii="宋体" w:hAnsi="宋体"/>
          <w:b/>
          <w:bCs/>
          <w:color w:val="auto"/>
          <w:sz w:val="24"/>
        </w:rPr>
        <w:t>验收</w:t>
      </w:r>
      <w:r>
        <w:rPr>
          <w:rFonts w:hint="eastAsia" w:ascii="宋体" w:hAnsi="宋体"/>
          <w:b/>
          <w:bCs/>
          <w:color w:val="auto"/>
          <w:sz w:val="24"/>
          <w:lang w:eastAsia="zh-CN"/>
        </w:rPr>
        <w:t>交货</w:t>
      </w:r>
      <w:r>
        <w:rPr>
          <w:rFonts w:hint="eastAsia" w:ascii="宋体" w:hAnsi="宋体"/>
          <w:b/>
          <w:bCs/>
          <w:color w:val="auto"/>
          <w:sz w:val="24"/>
        </w:rPr>
        <w:t>方式：</w:t>
      </w:r>
      <w:r>
        <w:rPr>
          <w:rFonts w:hint="eastAsia" w:ascii="宋体" w:hAnsi="宋体"/>
          <w:color w:val="auto"/>
          <w:sz w:val="24"/>
        </w:rPr>
        <w:t>卖方自行组织运输车辆，车辆类型必须符合买方要求，卖方原因造成无法卸货的，由卖方负责。买方按国</w:t>
      </w:r>
      <w:r>
        <w:rPr>
          <w:rFonts w:hint="eastAsia" w:ascii="宋体" w:hAnsi="宋体"/>
          <w:color w:val="auto"/>
          <w:sz w:val="24"/>
          <w:lang w:eastAsia="zh-CN"/>
        </w:rPr>
        <w:t>家</w:t>
      </w:r>
      <w:r>
        <w:rPr>
          <w:rFonts w:hint="eastAsia" w:ascii="宋体" w:hAnsi="宋体"/>
          <w:color w:val="auto"/>
          <w:sz w:val="24"/>
        </w:rPr>
        <w:t>规定的粮食检验办法和操作规程进行验质，以技术监督部门检验合格的计量工具进行验斤，</w:t>
      </w:r>
      <w:r>
        <w:rPr>
          <w:rFonts w:hint="eastAsia" w:ascii="宋体" w:hAnsi="宋体"/>
          <w:color w:val="auto"/>
          <w:kern w:val="0"/>
          <w:sz w:val="24"/>
        </w:rPr>
        <w:t>由买方初步验质合格后并过磅</w:t>
      </w:r>
      <w:r>
        <w:rPr>
          <w:rFonts w:hint="eastAsia" w:ascii="宋体" w:hAnsi="宋体"/>
          <w:color w:val="auto"/>
          <w:kern w:val="0"/>
          <w:sz w:val="28"/>
          <w:szCs w:val="28"/>
        </w:rPr>
        <w:t>，</w:t>
      </w:r>
      <w:r>
        <w:rPr>
          <w:rFonts w:hint="eastAsia" w:ascii="宋体" w:hAnsi="宋体"/>
          <w:color w:val="auto"/>
          <w:kern w:val="0"/>
          <w:sz w:val="24"/>
        </w:rPr>
        <w:t>粮食运到指定仓库,买方出具入库凭证。</w:t>
      </w:r>
      <w:r>
        <w:rPr>
          <w:rFonts w:hint="eastAsia" w:ascii="宋体" w:hAnsi="宋体"/>
          <w:color w:val="auto"/>
          <w:sz w:val="24"/>
        </w:rPr>
        <w:t>麻袋不作价、不计重、除皮送袋。</w:t>
      </w:r>
      <w:r>
        <w:rPr>
          <w:rFonts w:hint="eastAsia" w:ascii="宋体" w:hAnsi="宋体"/>
          <w:color w:val="auto"/>
          <w:kern w:val="0"/>
          <w:sz w:val="24"/>
        </w:rPr>
        <w:t>入库粮食</w:t>
      </w:r>
      <w:r>
        <w:rPr>
          <w:rFonts w:hint="eastAsia" w:ascii="宋体" w:hAnsi="宋体"/>
          <w:color w:val="auto"/>
          <w:sz w:val="24"/>
        </w:rPr>
        <w:t>如果质量不符合本合同约定质量标准的或发现混有其他生产年份的稻谷，买方有权不予接收，货物由卖方自行处理，并承担所发生费用。如粮食入库后镉含量指标检测不合格，买方一律退货，由卖方承担所发生的费用。严禁卖方将走私农产品流入国家粮食储备体系，一经发现将对违法违规企业由有关部门作出严肃处理。</w:t>
      </w:r>
      <w:r>
        <w:rPr>
          <w:rFonts w:hint="eastAsia" w:ascii="宋体" w:hAnsi="宋体"/>
          <w:color w:val="auto"/>
          <w:kern w:val="0"/>
          <w:sz w:val="24"/>
        </w:rPr>
        <w:t>卖方需向买方提供《粮食质量安全信用承诺书》。</w:t>
      </w:r>
    </w:p>
    <w:p w14:paraId="06296B72">
      <w:pPr>
        <w:numPr>
          <w:ilvl w:val="0"/>
          <w:numId w:val="1"/>
        </w:numPr>
        <w:autoSpaceDE w:val="0"/>
        <w:autoSpaceDN w:val="0"/>
        <w:adjustRightInd w:val="0"/>
        <w:spacing w:line="480" w:lineRule="exact"/>
        <w:ind w:left="0" w:leftChars="0" w:firstLine="482" w:firstLineChars="200"/>
        <w:rPr>
          <w:rFonts w:ascii="宋体" w:hAnsi="宋体"/>
          <w:b/>
          <w:sz w:val="24"/>
        </w:rPr>
      </w:pPr>
      <w:r>
        <w:rPr>
          <w:rFonts w:hint="eastAsia" w:ascii="宋体" w:hAnsi="宋体"/>
          <w:b/>
          <w:bCs/>
          <w:sz w:val="24"/>
        </w:rPr>
        <w:t>费用承担：</w:t>
      </w:r>
      <w:r>
        <w:rPr>
          <w:rFonts w:hint="eastAsia" w:ascii="宋体" w:hAnsi="宋体"/>
          <w:sz w:val="24"/>
        </w:rPr>
        <w:t>1.成交价为仓内交货价，进仓时由卖方与第三方劳务装卸服务公司签订劳务费用支出合同及作业安全管理协议，进库过程中产生的包装费、搬运装卸费、运费等由卖方承担。卖方在进库过程中要负责做好装运的安全生产工作，若发生安全事故，由卖方承担全部责任；2.卖方承担交货前的一切费用，包括下车、进仓、仓内平整粮面、交货短途费用；3.买方向卖方收取20元/吨的进仓服务费（含设备使用费、水电费、过磅费、检验费、仓外整理清扫费、加班、误餐等费用），买方不承担任何费用。</w:t>
      </w:r>
    </w:p>
    <w:p w14:paraId="456D3959">
      <w:pPr>
        <w:autoSpaceDE w:val="0"/>
        <w:autoSpaceDN w:val="0"/>
        <w:adjustRightInd w:val="0"/>
        <w:spacing w:line="480" w:lineRule="exact"/>
        <w:ind w:firstLine="482" w:firstLineChars="200"/>
        <w:rPr>
          <w:rFonts w:hint="default" w:ascii="宋体" w:hAnsi="宋体" w:eastAsia="宋体"/>
          <w:b/>
          <w:kern w:val="0"/>
          <w:sz w:val="24"/>
          <w:lang w:val="en-US" w:eastAsia="zh-CN"/>
        </w:rPr>
      </w:pPr>
      <w:r>
        <w:rPr>
          <w:rFonts w:hint="eastAsia" w:ascii="宋体" w:hAnsi="宋体"/>
          <w:b/>
          <w:bCs/>
          <w:sz w:val="24"/>
        </w:rPr>
        <w:t>四、货款结算：</w:t>
      </w:r>
      <w:r>
        <w:rPr>
          <w:rFonts w:hint="eastAsia" w:ascii="宋体" w:hAnsi="宋体" w:cs="宋体"/>
          <w:kern w:val="0"/>
          <w:sz w:val="24"/>
        </w:rPr>
        <w:t>采用分段付款方式，粮食运到指定仓库并验收入库后，累计达</w:t>
      </w:r>
      <w:r>
        <w:rPr>
          <w:rFonts w:ascii="宋体" w:hAnsi="宋体" w:cs="宋体"/>
          <w:kern w:val="0"/>
          <w:sz w:val="24"/>
        </w:rPr>
        <w:t>500</w:t>
      </w:r>
      <w:r>
        <w:rPr>
          <w:rFonts w:hint="eastAsia" w:ascii="宋体" w:hAnsi="宋体" w:cs="宋体"/>
          <w:kern w:val="0"/>
          <w:sz w:val="24"/>
        </w:rPr>
        <w:t>吨为结算起点，以后每</w:t>
      </w:r>
      <w:r>
        <w:rPr>
          <w:rFonts w:ascii="宋体" w:hAnsi="宋体" w:cs="宋体"/>
          <w:kern w:val="0"/>
          <w:sz w:val="24"/>
        </w:rPr>
        <w:t>500</w:t>
      </w:r>
      <w:r>
        <w:rPr>
          <w:rFonts w:hint="eastAsia" w:ascii="宋体" w:hAnsi="宋体" w:cs="宋体"/>
          <w:kern w:val="0"/>
          <w:sz w:val="24"/>
        </w:rPr>
        <w:t>吨结算一次。粮食入库任务完成付总货款额</w:t>
      </w:r>
      <w:r>
        <w:rPr>
          <w:rFonts w:ascii="宋体" w:hAnsi="宋体" w:cs="宋体"/>
          <w:kern w:val="0"/>
          <w:sz w:val="24"/>
        </w:rPr>
        <w:t>80%</w:t>
      </w:r>
      <w:r>
        <w:rPr>
          <w:rFonts w:hint="eastAsia" w:ascii="宋体" w:hAnsi="宋体" w:cs="宋体"/>
          <w:kern w:val="0"/>
          <w:sz w:val="24"/>
        </w:rPr>
        <w:t>，剩余</w:t>
      </w:r>
      <w:r>
        <w:rPr>
          <w:rFonts w:ascii="宋体" w:hAnsi="宋体" w:cs="宋体"/>
          <w:kern w:val="0"/>
          <w:sz w:val="24"/>
        </w:rPr>
        <w:t>20%</w:t>
      </w:r>
      <w:r>
        <w:rPr>
          <w:rFonts w:hint="eastAsia" w:ascii="宋体" w:hAnsi="宋体" w:cs="宋体"/>
          <w:kern w:val="0"/>
          <w:sz w:val="24"/>
        </w:rPr>
        <w:t>待第三方质量验收合格</w:t>
      </w:r>
      <w:r>
        <w:rPr>
          <w:rFonts w:hint="eastAsia" w:ascii="宋体" w:hAnsi="宋体" w:cs="宋体"/>
          <w:kern w:val="0"/>
          <w:sz w:val="24"/>
          <w:lang w:eastAsia="zh-CN"/>
        </w:rPr>
        <w:t>和大埔县发展和改革局等监管部门验收后，买方凭卖方提供的有效发票，在</w:t>
      </w:r>
      <w:r>
        <w:rPr>
          <w:rFonts w:hint="eastAsia" w:ascii="宋体" w:hAnsi="宋体" w:cs="宋体"/>
          <w:kern w:val="0"/>
          <w:sz w:val="24"/>
          <w:lang w:val="en-US" w:eastAsia="zh-CN"/>
        </w:rPr>
        <w:t>10个工作日内结清全部货款。</w:t>
      </w:r>
    </w:p>
    <w:p w14:paraId="0458F0E9">
      <w:pPr>
        <w:pStyle w:val="4"/>
        <w:spacing w:line="480" w:lineRule="exact"/>
        <w:ind w:firstLine="482"/>
        <w:rPr>
          <w:rFonts w:ascii="宋体" w:hAnsi="宋体" w:eastAsia="宋体"/>
        </w:rPr>
      </w:pPr>
      <w:r>
        <w:rPr>
          <w:rFonts w:hint="eastAsia" w:ascii="宋体" w:hAnsi="宋体" w:eastAsia="宋体"/>
          <w:b/>
        </w:rPr>
        <w:t>五、结算凭证：</w:t>
      </w:r>
      <w:r>
        <w:rPr>
          <w:rFonts w:hint="eastAsia" w:ascii="宋体" w:hAnsi="宋体" w:eastAsia="宋体"/>
        </w:rPr>
        <w:t>卖方提供本单位开出的有效货物销售增值税发票或粮食销售统一发票。</w:t>
      </w:r>
    </w:p>
    <w:p w14:paraId="73DA26BC">
      <w:pPr>
        <w:pStyle w:val="3"/>
        <w:spacing w:line="480" w:lineRule="exact"/>
        <w:ind w:firstLine="482"/>
        <w:rPr>
          <w:rFonts w:ascii="宋体" w:hAnsi="宋体" w:eastAsia="宋体"/>
          <w:sz w:val="24"/>
        </w:rPr>
      </w:pPr>
      <w:r>
        <w:rPr>
          <w:rFonts w:hint="eastAsia" w:ascii="宋体" w:hAnsi="宋体" w:eastAsia="宋体"/>
          <w:b/>
          <w:bCs/>
          <w:sz w:val="24"/>
        </w:rPr>
        <w:t>六、违约责任：</w:t>
      </w:r>
      <w:r>
        <w:rPr>
          <w:rFonts w:hint="eastAsia" w:ascii="宋体" w:hAnsi="宋体" w:eastAsia="宋体"/>
          <w:sz w:val="24"/>
        </w:rPr>
        <w:t>如有任何一方违约，违约部分保证金划归对方，并承担对方违约部分交易手续费，交易中心不承担经济责任。</w:t>
      </w:r>
    </w:p>
    <w:p w14:paraId="5A3923F1">
      <w:pPr>
        <w:pStyle w:val="3"/>
        <w:spacing w:line="480" w:lineRule="exact"/>
        <w:ind w:firstLine="482"/>
        <w:rPr>
          <w:rFonts w:ascii="宋体" w:hAnsi="宋体" w:eastAsia="宋体"/>
          <w:sz w:val="24"/>
        </w:rPr>
      </w:pPr>
      <w:r>
        <w:rPr>
          <w:rFonts w:hint="eastAsia" w:ascii="宋体" w:hAnsi="宋体" w:eastAsia="宋体"/>
          <w:b/>
          <w:bCs/>
          <w:sz w:val="24"/>
        </w:rPr>
        <w:t>七、其他事项：</w:t>
      </w:r>
      <w:r>
        <w:rPr>
          <w:rFonts w:hint="eastAsia" w:ascii="宋体" w:hAnsi="宋体" w:eastAsia="宋体"/>
          <w:sz w:val="24"/>
        </w:rPr>
        <w:t>①卖方必须提供产粮地的有效质检证明。</w:t>
      </w:r>
    </w:p>
    <w:p w14:paraId="159353A5">
      <w:pPr>
        <w:pStyle w:val="3"/>
        <w:spacing w:line="480" w:lineRule="exact"/>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3734EC3F">
      <w:pPr>
        <w:autoSpaceDE w:val="0"/>
        <w:autoSpaceDN w:val="0"/>
        <w:adjustRightInd w:val="0"/>
        <w:spacing w:line="480" w:lineRule="exact"/>
        <w:ind w:firstLine="482" w:firstLineChars="200"/>
        <w:rPr>
          <w:rFonts w:ascii="宋体" w:hAnsi="宋体"/>
          <w:kern w:val="0"/>
          <w:sz w:val="24"/>
        </w:rPr>
      </w:pPr>
      <w:r>
        <w:rPr>
          <w:rFonts w:hint="eastAsia" w:ascii="宋体" w:hAnsi="宋体"/>
          <w:b/>
          <w:bCs/>
          <w:kern w:val="0"/>
          <w:sz w:val="24"/>
        </w:rPr>
        <w:t>八、争议解决：</w:t>
      </w:r>
    </w:p>
    <w:p w14:paraId="1A29377E">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1、出现不明确责任情况，由交易中心协调解决；</w:t>
      </w:r>
    </w:p>
    <w:p w14:paraId="0844324F">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2、卖方逾期交货（含因质量不合格被买方拒收造成的逾期交货），</w:t>
      </w:r>
      <w:r>
        <w:rPr>
          <w:rFonts w:hint="eastAsia" w:ascii="宋体" w:hAnsi="宋体" w:cs="宋体"/>
          <w:kern w:val="0"/>
          <w:sz w:val="24"/>
        </w:rPr>
        <w:t>逾期供货</w:t>
      </w:r>
      <w:r>
        <w:rPr>
          <w:rFonts w:ascii="宋体" w:hAnsi="宋体" w:cs="宋体"/>
          <w:kern w:val="0"/>
          <w:sz w:val="24"/>
        </w:rPr>
        <w:t>10</w:t>
      </w:r>
      <w:r>
        <w:rPr>
          <w:rFonts w:hint="eastAsia" w:ascii="宋体" w:hAnsi="宋体" w:cs="宋体"/>
          <w:kern w:val="0"/>
          <w:sz w:val="24"/>
        </w:rPr>
        <w:t>天内，每逾期一天，按逾期交货总金额的</w:t>
      </w:r>
      <w:r>
        <w:rPr>
          <w:rFonts w:ascii="宋体" w:hAnsi="宋体" w:cs="宋体"/>
          <w:kern w:val="0"/>
          <w:sz w:val="24"/>
        </w:rPr>
        <w:t>0.2%</w:t>
      </w:r>
      <w:r>
        <w:rPr>
          <w:rFonts w:hint="eastAsia" w:ascii="宋体" w:hAnsi="宋体" w:cs="宋体"/>
          <w:kern w:val="0"/>
          <w:sz w:val="24"/>
        </w:rPr>
        <w:t>向买方支付滞纳金；</w:t>
      </w:r>
      <w:r>
        <w:rPr>
          <w:rFonts w:hint="eastAsia" w:ascii="宋体" w:hAnsi="宋体" w:cs="宋体"/>
          <w:sz w:val="24"/>
        </w:rPr>
        <w:t>超过</w:t>
      </w:r>
      <w:r>
        <w:rPr>
          <w:rFonts w:ascii="宋体" w:hAnsi="宋体" w:cs="宋体"/>
          <w:sz w:val="24"/>
        </w:rPr>
        <w:t>10</w:t>
      </w:r>
      <w:r>
        <w:rPr>
          <w:rFonts w:hint="eastAsia" w:ascii="宋体" w:hAnsi="宋体" w:cs="宋体"/>
          <w:sz w:val="24"/>
        </w:rPr>
        <w:t>天的，由交易中心通知卖方停止供货，并按</w:t>
      </w:r>
      <w:r>
        <w:rPr>
          <w:rFonts w:ascii="宋体" w:hAnsi="宋体" w:cs="宋体"/>
          <w:sz w:val="24"/>
        </w:rPr>
        <w:t>50</w:t>
      </w:r>
      <w:r>
        <w:rPr>
          <w:rFonts w:hint="eastAsia" w:ascii="宋体" w:hAnsi="宋体" w:cs="宋体"/>
          <w:sz w:val="24"/>
        </w:rPr>
        <w:t>元</w:t>
      </w:r>
      <w:r>
        <w:rPr>
          <w:rFonts w:ascii="宋体" w:hAnsi="宋体" w:cs="宋体"/>
          <w:sz w:val="24"/>
        </w:rPr>
        <w:t>/</w:t>
      </w:r>
      <w:r>
        <w:rPr>
          <w:rFonts w:hint="eastAsia" w:ascii="宋体" w:hAnsi="宋体" w:cs="宋体"/>
          <w:sz w:val="24"/>
        </w:rPr>
        <w:t>吨扣罚中标单位逾期费</w:t>
      </w:r>
      <w:r>
        <w:rPr>
          <w:rFonts w:hint="eastAsia" w:ascii="宋体" w:hAnsi="宋体" w:cs="宋体"/>
          <w:kern w:val="0"/>
          <w:sz w:val="24"/>
        </w:rPr>
        <w:t>。</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1C88D10B">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57A4C5D6">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4、买卖双方如就质量问题发生争议，双方共同扦样并委托粮食产品质量监督检验机构检验鉴定，检验费用由责任方负担。</w:t>
      </w:r>
    </w:p>
    <w:p w14:paraId="12AE84F7">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5、</w:t>
      </w:r>
      <w:r>
        <w:rPr>
          <w:rFonts w:hint="eastAsia" w:ascii="宋体" w:hAnsi="宋体" w:eastAsia="宋体" w:cs="Times New Roman"/>
          <w:sz w:val="24"/>
        </w:rPr>
        <w:t>买方入库初检结果不作为验收依据，待全部货物入库</w:t>
      </w:r>
      <w:r>
        <w:rPr>
          <w:rFonts w:hint="eastAsia" w:ascii="宋体" w:hAnsi="宋体"/>
          <w:kern w:val="0"/>
          <w:sz w:val="24"/>
        </w:rPr>
        <w:t>结束后由买方委托有资质的第三方扦样、检验，质量认定以有资质的第三方出具的检验结果为准。</w:t>
      </w:r>
    </w:p>
    <w:p w14:paraId="13DED58F">
      <w:pPr>
        <w:autoSpaceDE w:val="0"/>
        <w:autoSpaceDN w:val="0"/>
        <w:adjustRightInd w:val="0"/>
        <w:spacing w:line="480" w:lineRule="exact"/>
        <w:ind w:firstLine="480" w:firstLineChars="200"/>
        <w:rPr>
          <w:rFonts w:hint="eastAsia" w:ascii="宋体" w:hAnsi="宋体"/>
          <w:sz w:val="24"/>
        </w:rPr>
      </w:pPr>
      <w:r>
        <w:rPr>
          <w:rFonts w:hint="eastAsia" w:ascii="宋体" w:hAnsi="宋体"/>
          <w:sz w:val="24"/>
        </w:rPr>
        <w:t>6、卖方提供的货物质量不符合规定的，货物由双方协商处理，余下货款额20%暂不支付，专项用于弥补处理不符合质量的货物的损失，余额部分再支付卖方。</w:t>
      </w:r>
    </w:p>
    <w:p w14:paraId="4BF00E8C">
      <w:pPr>
        <w:autoSpaceDE w:val="0"/>
        <w:autoSpaceDN w:val="0"/>
        <w:adjustRightInd w:val="0"/>
        <w:spacing w:line="480" w:lineRule="exact"/>
        <w:ind w:firstLine="480" w:firstLineChars="200"/>
        <w:rPr>
          <w:rFonts w:hint="eastAsia" w:ascii="宋体" w:hAnsi="宋体" w:eastAsia="宋体"/>
          <w:sz w:val="24"/>
          <w:lang w:eastAsia="zh-CN"/>
        </w:rPr>
      </w:pPr>
      <w:r>
        <w:rPr>
          <w:rFonts w:hint="eastAsia" w:ascii="宋体" w:hAnsi="宋体"/>
          <w:sz w:val="24"/>
          <w:lang w:eastAsia="zh-CN"/>
        </w:rPr>
        <w:t>九、合同签订地点：梅州市。</w:t>
      </w:r>
    </w:p>
    <w:p w14:paraId="3F98DD56">
      <w:pPr>
        <w:autoSpaceDE w:val="0"/>
        <w:autoSpaceDN w:val="0"/>
        <w:adjustRightInd w:val="0"/>
        <w:spacing w:line="480" w:lineRule="exact"/>
        <w:ind w:firstLine="480" w:firstLineChars="200"/>
        <w:rPr>
          <w:rFonts w:ascii="宋体" w:hAnsi="宋体"/>
          <w:b/>
          <w:bCs/>
          <w:kern w:val="0"/>
          <w:sz w:val="24"/>
        </w:rPr>
      </w:pPr>
      <w:r>
        <w:rPr>
          <w:rFonts w:hint="eastAsia" w:ascii="宋体" w:hAnsi="宋体"/>
          <w:b w:val="0"/>
          <w:bCs w:val="0"/>
          <w:kern w:val="0"/>
          <w:sz w:val="24"/>
          <w:lang w:eastAsia="zh-CN"/>
        </w:rPr>
        <w:t>十</w:t>
      </w:r>
      <w:r>
        <w:rPr>
          <w:rFonts w:hint="eastAsia" w:ascii="宋体" w:hAnsi="宋体"/>
          <w:b w:val="0"/>
          <w:bCs w:val="0"/>
          <w:kern w:val="0"/>
          <w:sz w:val="24"/>
        </w:rPr>
        <w:t>、</w:t>
      </w:r>
      <w:r>
        <w:rPr>
          <w:rFonts w:hint="eastAsia" w:ascii="宋体" w:hAnsi="宋体"/>
          <w:kern w:val="0"/>
          <w:sz w:val="24"/>
        </w:rPr>
        <w:t>本合同自签订之日起生效，双方履行完毕后，自然终止。</w:t>
      </w:r>
    </w:p>
    <w:p w14:paraId="35A00A51">
      <w:pPr>
        <w:autoSpaceDE w:val="0"/>
        <w:autoSpaceDN w:val="0"/>
        <w:adjustRightInd w:val="0"/>
        <w:spacing w:line="480" w:lineRule="exact"/>
        <w:ind w:firstLine="480" w:firstLineChars="200"/>
        <w:rPr>
          <w:rFonts w:ascii="宋体" w:hAnsi="宋体"/>
          <w:b/>
          <w:bCs/>
          <w:kern w:val="0"/>
          <w:sz w:val="24"/>
        </w:rPr>
      </w:pPr>
      <w:r>
        <w:rPr>
          <w:rFonts w:hint="eastAsia" w:ascii="宋体" w:hAnsi="宋体"/>
          <w:b w:val="0"/>
          <w:bCs w:val="0"/>
          <w:kern w:val="0"/>
          <w:sz w:val="24"/>
        </w:rPr>
        <w:t>十</w:t>
      </w:r>
      <w:r>
        <w:rPr>
          <w:rFonts w:hint="eastAsia" w:ascii="宋体" w:hAnsi="宋体"/>
          <w:b w:val="0"/>
          <w:bCs w:val="0"/>
          <w:kern w:val="0"/>
          <w:sz w:val="24"/>
          <w:lang w:eastAsia="zh-CN"/>
        </w:rPr>
        <w:t>一</w:t>
      </w:r>
      <w:r>
        <w:rPr>
          <w:rFonts w:hint="eastAsia" w:ascii="宋体" w:hAnsi="宋体"/>
          <w:b w:val="0"/>
          <w:bCs w:val="0"/>
          <w:kern w:val="0"/>
          <w:sz w:val="24"/>
        </w:rPr>
        <w:t>、</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7D1ED256">
      <w:pPr>
        <w:autoSpaceDE w:val="0"/>
        <w:autoSpaceDN w:val="0"/>
        <w:adjustRightInd w:val="0"/>
        <w:spacing w:line="480" w:lineRule="exact"/>
        <w:ind w:firstLine="480" w:firstLineChars="200"/>
        <w:rPr>
          <w:rFonts w:ascii="宋体" w:hAnsi="宋体"/>
          <w:kern w:val="0"/>
          <w:sz w:val="24"/>
        </w:rPr>
      </w:pPr>
      <w:r>
        <w:rPr>
          <w:rFonts w:hint="eastAsia" w:ascii="宋体" w:hAnsi="宋体"/>
          <w:b w:val="0"/>
          <w:bCs/>
          <w:kern w:val="0"/>
          <w:sz w:val="24"/>
        </w:rPr>
        <w:t>十</w:t>
      </w:r>
      <w:r>
        <w:rPr>
          <w:rFonts w:hint="eastAsia" w:ascii="宋体" w:hAnsi="宋体"/>
          <w:b w:val="0"/>
          <w:bCs/>
          <w:kern w:val="0"/>
          <w:sz w:val="24"/>
          <w:lang w:eastAsia="zh-CN"/>
        </w:rPr>
        <w:t>二</w:t>
      </w:r>
      <w:r>
        <w:rPr>
          <w:rFonts w:hint="eastAsia" w:ascii="宋体" w:hAnsi="宋体"/>
          <w:b w:val="0"/>
          <w:bCs/>
          <w:kern w:val="0"/>
          <w:sz w:val="24"/>
        </w:rPr>
        <w:t>、</w:t>
      </w:r>
      <w:r>
        <w:rPr>
          <w:rFonts w:hint="eastAsia" w:ascii="宋体" w:hAnsi="宋体"/>
          <w:kern w:val="0"/>
          <w:sz w:val="24"/>
        </w:rPr>
        <w:t>本合同一式三份，买卖双方、确认单位各执一份。</w:t>
      </w:r>
    </w:p>
    <w:p w14:paraId="0AD50A16">
      <w:pPr>
        <w:autoSpaceDE w:val="0"/>
        <w:autoSpaceDN w:val="0"/>
        <w:adjustRightInd w:val="0"/>
        <w:spacing w:line="480" w:lineRule="exact"/>
        <w:ind w:firstLine="480" w:firstLineChars="200"/>
        <w:rPr>
          <w:rFonts w:ascii="宋体" w:hAnsi="宋体"/>
          <w:kern w:val="0"/>
          <w:sz w:val="24"/>
        </w:rPr>
      </w:pPr>
    </w:p>
    <w:p w14:paraId="5998E2B1">
      <w:pPr>
        <w:autoSpaceDE w:val="0"/>
        <w:autoSpaceDN w:val="0"/>
        <w:adjustRightInd w:val="0"/>
        <w:spacing w:line="580" w:lineRule="exact"/>
        <w:rPr>
          <w:rFonts w:ascii="宋体" w:hAnsi="宋体"/>
          <w:kern w:val="0"/>
          <w:sz w:val="28"/>
        </w:rPr>
      </w:pPr>
    </w:p>
    <w:p w14:paraId="1E5351D7">
      <w:pPr>
        <w:autoSpaceDE w:val="0"/>
        <w:autoSpaceDN w:val="0"/>
        <w:adjustRightInd w:val="0"/>
        <w:spacing w:line="580" w:lineRule="exact"/>
        <w:rPr>
          <w:rFonts w:ascii="宋体" w:hAnsi="宋体"/>
          <w:kern w:val="0"/>
          <w:sz w:val="24"/>
        </w:rPr>
      </w:pPr>
      <w:r>
        <w:rPr>
          <w:rFonts w:hint="eastAsia" w:ascii="宋体" w:hAnsi="宋体"/>
          <w:kern w:val="0"/>
          <w:sz w:val="24"/>
        </w:rPr>
        <w:t xml:space="preserve">买方单位（盖章）：                  卖方单位（盖章）： </w:t>
      </w:r>
    </w:p>
    <w:p w14:paraId="16F7070C">
      <w:pPr>
        <w:autoSpaceDE w:val="0"/>
        <w:autoSpaceDN w:val="0"/>
        <w:adjustRightInd w:val="0"/>
        <w:spacing w:line="580" w:lineRule="exact"/>
        <w:rPr>
          <w:rFonts w:ascii="宋体" w:hAnsi="宋体"/>
          <w:kern w:val="0"/>
          <w:sz w:val="24"/>
        </w:rPr>
      </w:pPr>
    </w:p>
    <w:p w14:paraId="1557E5AF">
      <w:pPr>
        <w:autoSpaceDE w:val="0"/>
        <w:autoSpaceDN w:val="0"/>
        <w:adjustRightInd w:val="0"/>
        <w:spacing w:line="580" w:lineRule="exact"/>
        <w:rPr>
          <w:rFonts w:ascii="宋体" w:hAnsi="宋体"/>
          <w:kern w:val="0"/>
          <w:sz w:val="24"/>
        </w:rPr>
      </w:pPr>
      <w:r>
        <w:rPr>
          <w:rFonts w:hint="eastAsia" w:ascii="宋体" w:hAnsi="宋体"/>
          <w:kern w:val="0"/>
          <w:sz w:val="24"/>
        </w:rPr>
        <w:t>法人或代理人（签字）：              法人或代理人（签字）：</w:t>
      </w:r>
    </w:p>
    <w:p w14:paraId="502EA6C9">
      <w:pPr>
        <w:autoSpaceDE w:val="0"/>
        <w:autoSpaceDN w:val="0"/>
        <w:adjustRightInd w:val="0"/>
        <w:spacing w:line="580" w:lineRule="exact"/>
        <w:rPr>
          <w:rFonts w:ascii="宋体" w:hAnsi="宋体"/>
          <w:sz w:val="24"/>
        </w:rPr>
      </w:pPr>
    </w:p>
    <w:p w14:paraId="40E0E470">
      <w:pPr>
        <w:spacing w:line="580" w:lineRule="exact"/>
        <w:rPr>
          <w:rFonts w:ascii="宋体" w:hAnsi="宋体"/>
          <w:sz w:val="24"/>
        </w:rPr>
      </w:pPr>
    </w:p>
    <w:p w14:paraId="12BF2D6F">
      <w:pPr>
        <w:spacing w:line="580" w:lineRule="exact"/>
        <w:rPr>
          <w:rFonts w:ascii="宋体" w:hAnsi="宋体"/>
          <w:sz w:val="24"/>
        </w:rPr>
      </w:pPr>
      <w:r>
        <w:rPr>
          <w:rFonts w:hint="eastAsia" w:ascii="宋体" w:hAnsi="宋体"/>
          <w:sz w:val="24"/>
        </w:rPr>
        <w:t>确认单位：梅州市嘉应粮食交易中心有限公司</w:t>
      </w:r>
    </w:p>
    <w:p w14:paraId="710D0687">
      <w:pPr>
        <w:spacing w:line="58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32ED991E">
      <w:pPr>
        <w:spacing w:line="500" w:lineRule="exact"/>
        <w:ind w:firstLine="6136" w:firstLineChars="2557"/>
        <w:rPr>
          <w:rFonts w:ascii="宋体" w:hAnsi="宋体"/>
          <w:sz w:val="24"/>
        </w:rPr>
      </w:pPr>
    </w:p>
    <w:p w14:paraId="31240682">
      <w:pPr>
        <w:spacing w:line="500" w:lineRule="exact"/>
        <w:ind w:firstLine="6136" w:firstLineChars="2557"/>
        <w:rPr>
          <w:rFonts w:ascii="宋体" w:hAnsi="宋体"/>
          <w:sz w:val="24"/>
        </w:rPr>
      </w:pPr>
    </w:p>
    <w:p w14:paraId="5CBE3405">
      <w:pPr>
        <w:spacing w:line="500" w:lineRule="exact"/>
        <w:ind w:firstLine="6136" w:firstLineChars="2557"/>
        <w:rPr>
          <w:rFonts w:ascii="宋体" w:hAnsi="宋体"/>
          <w:sz w:val="24"/>
        </w:rPr>
      </w:pPr>
    </w:p>
    <w:p w14:paraId="4B95A3A0">
      <w:pPr>
        <w:spacing w:line="500" w:lineRule="exact"/>
        <w:ind w:firstLine="6136" w:firstLineChars="2557"/>
        <w:rPr>
          <w:rFonts w:hint="eastAsia" w:ascii="宋体" w:hAnsi="宋体"/>
          <w:sz w:val="24"/>
        </w:rPr>
        <w:sectPr>
          <w:headerReference r:id="rId3" w:type="default"/>
          <w:footerReference r:id="rId4" w:type="default"/>
          <w:footerReference r:id="rId5" w:type="even"/>
          <w:pgSz w:w="11906" w:h="16838"/>
          <w:pgMar w:top="1191" w:right="1418" w:bottom="1191" w:left="1418" w:header="851" w:footer="992" w:gutter="0"/>
          <w:cols w:space="720" w:num="1"/>
          <w:docGrid w:type="lines" w:linePitch="312" w:charSpace="0"/>
        </w:sect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eastAsia="宋体"/>
          <w:color w:val="auto"/>
          <w:kern w:val="2"/>
          <w:sz w:val="24"/>
          <w:lang w:val="en-US" w:eastAsia="zh-CN"/>
        </w:rPr>
        <w:t>XX</w:t>
      </w:r>
      <w:r>
        <w:rPr>
          <w:rFonts w:hint="eastAsia" w:ascii="宋体" w:hAnsi="宋体"/>
          <w:sz w:val="24"/>
        </w:rPr>
        <w:t>月</w:t>
      </w:r>
      <w:r>
        <w:rPr>
          <w:rFonts w:hint="eastAsia" w:ascii="宋体" w:hAnsi="宋体" w:eastAsia="宋体"/>
          <w:color w:val="auto"/>
          <w:kern w:val="2"/>
          <w:sz w:val="24"/>
          <w:lang w:val="en-US" w:eastAsia="zh-CN"/>
        </w:rPr>
        <w:t>XX</w:t>
      </w:r>
      <w:r>
        <w:rPr>
          <w:rFonts w:hint="eastAsia" w:ascii="宋体" w:hAnsi="宋体"/>
          <w:sz w:val="24"/>
        </w:rPr>
        <w:t>日</w:t>
      </w:r>
    </w:p>
    <w:p w14:paraId="64D2B906">
      <w:pPr>
        <w:jc w:val="center"/>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粮食质量安全信用承诺书</w:t>
      </w:r>
    </w:p>
    <w:p w14:paraId="3A897C44">
      <w:pPr>
        <w:jc w:val="center"/>
        <w:rPr>
          <w:rFonts w:ascii="文星标宋" w:eastAsia="文星标宋"/>
          <w:sz w:val="44"/>
          <w:szCs w:val="44"/>
        </w:rPr>
      </w:pPr>
    </w:p>
    <w:p w14:paraId="28041A07">
      <w:pPr>
        <w:jc w:val="left"/>
        <w:rPr>
          <w:rFonts w:hint="eastAsia" w:ascii="文星仿宋" w:eastAsia="文星仿宋"/>
          <w:sz w:val="32"/>
          <w:szCs w:val="32"/>
          <w:highlight w:val="none"/>
          <w:lang w:eastAsia="zh-CN"/>
        </w:rPr>
      </w:pPr>
      <w:r>
        <w:rPr>
          <w:rFonts w:hint="eastAsia" w:ascii="文星仿宋" w:eastAsia="文星仿宋"/>
          <w:sz w:val="32"/>
          <w:szCs w:val="32"/>
          <w:lang w:eastAsia="zh-CN"/>
        </w:rPr>
        <w:t>大埔县兴丰</w:t>
      </w:r>
      <w:r>
        <w:rPr>
          <w:rFonts w:hint="eastAsia" w:ascii="文星仿宋" w:eastAsia="文星仿宋"/>
          <w:sz w:val="32"/>
          <w:szCs w:val="32"/>
          <w:highlight w:val="none"/>
        </w:rPr>
        <w:t>粮食收储有限公司</w:t>
      </w:r>
      <w:r>
        <w:rPr>
          <w:rFonts w:hint="eastAsia" w:ascii="文星仿宋" w:eastAsia="文星仿宋"/>
          <w:sz w:val="32"/>
          <w:szCs w:val="32"/>
          <w:highlight w:val="none"/>
          <w:lang w:eastAsia="zh-CN"/>
        </w:rPr>
        <w:t>：</w:t>
      </w:r>
    </w:p>
    <w:p w14:paraId="3A30CD92">
      <w:pPr>
        <w:ind w:firstLine="640" w:firstLineChars="200"/>
        <w:jc w:val="left"/>
        <w:rPr>
          <w:rFonts w:ascii="文星仿宋" w:eastAsia="文星仿宋" w:hAnsiTheme="minorEastAsia"/>
          <w:sz w:val="32"/>
          <w:szCs w:val="32"/>
          <w:highlight w:val="none"/>
        </w:rPr>
      </w:pPr>
      <w:r>
        <w:rPr>
          <w:rFonts w:hint="eastAsia" w:ascii="文星仿宋" w:eastAsia="文星仿宋"/>
          <w:sz w:val="32"/>
          <w:szCs w:val="32"/>
          <w:highlight w:val="none"/>
        </w:rPr>
        <w:t>我</w:t>
      </w:r>
      <w:r>
        <w:rPr>
          <w:rFonts w:hint="eastAsia" w:ascii="文星仿宋" w:eastAsia="文星仿宋" w:hAnsiTheme="minorEastAsia"/>
          <w:sz w:val="32"/>
          <w:szCs w:val="32"/>
          <w:highlight w:val="none"/>
        </w:rPr>
        <w:t>单位于202</w:t>
      </w:r>
      <w:r>
        <w:rPr>
          <w:rFonts w:hint="eastAsia" w:ascii="文星仿宋" w:eastAsia="文星仿宋" w:hAnsiTheme="minorEastAsia"/>
          <w:sz w:val="32"/>
          <w:szCs w:val="32"/>
          <w:highlight w:val="none"/>
          <w:lang w:val="en-US" w:eastAsia="zh-CN"/>
        </w:rPr>
        <w:t>5</w:t>
      </w:r>
      <w:r>
        <w:rPr>
          <w:rFonts w:hint="eastAsia" w:ascii="文星仿宋" w:eastAsia="文星仿宋" w:hAnsiTheme="minorEastAsia"/>
          <w:sz w:val="32"/>
          <w:szCs w:val="32"/>
          <w:highlight w:val="none"/>
        </w:rPr>
        <w:t>年</w:t>
      </w:r>
      <w:r>
        <w:rPr>
          <w:rFonts w:hint="eastAsia" w:ascii="文星仿宋" w:eastAsia="文星仿宋" w:hAnsiTheme="minorEastAsia"/>
          <w:sz w:val="32"/>
          <w:szCs w:val="32"/>
          <w:highlight w:val="none"/>
          <w:lang w:val="en-US" w:eastAsia="zh-CN"/>
        </w:rPr>
        <w:t>XX</w:t>
      </w:r>
      <w:r>
        <w:rPr>
          <w:rFonts w:hint="eastAsia" w:ascii="文星仿宋" w:eastAsia="文星仿宋" w:hAnsiTheme="minorEastAsia"/>
          <w:sz w:val="32"/>
          <w:szCs w:val="32"/>
          <w:highlight w:val="none"/>
        </w:rPr>
        <w:t>月</w:t>
      </w:r>
      <w:r>
        <w:rPr>
          <w:rFonts w:hint="eastAsia" w:ascii="文星仿宋" w:eastAsia="文星仿宋" w:hAnsiTheme="minorEastAsia"/>
          <w:sz w:val="32"/>
          <w:szCs w:val="32"/>
          <w:highlight w:val="none"/>
          <w:lang w:val="en-US" w:eastAsia="zh-CN"/>
        </w:rPr>
        <w:t>XX</w:t>
      </w:r>
      <w:r>
        <w:rPr>
          <w:rFonts w:hint="eastAsia" w:ascii="文星仿宋" w:eastAsia="文星仿宋" w:hAnsiTheme="minorEastAsia"/>
          <w:sz w:val="32"/>
          <w:szCs w:val="32"/>
          <w:highlight w:val="none"/>
        </w:rPr>
        <w:t>日在梅州市嘉应粮食交易中心有限公司竞价采购交易中标202</w:t>
      </w:r>
      <w:r>
        <w:rPr>
          <w:rFonts w:hint="eastAsia" w:ascii="文星仿宋" w:eastAsia="文星仿宋" w:hAnsiTheme="minorEastAsia"/>
          <w:sz w:val="32"/>
          <w:szCs w:val="32"/>
          <w:highlight w:val="none"/>
          <w:lang w:val="en-US" w:eastAsia="zh-CN"/>
        </w:rPr>
        <w:t>5</w:t>
      </w:r>
      <w:r>
        <w:rPr>
          <w:rFonts w:hint="eastAsia" w:ascii="文星仿宋" w:eastAsia="文星仿宋" w:hAnsiTheme="minorEastAsia"/>
          <w:sz w:val="32"/>
          <w:szCs w:val="32"/>
          <w:highlight w:val="none"/>
        </w:rPr>
        <w:t>年产</w:t>
      </w:r>
      <w:r>
        <w:rPr>
          <w:rFonts w:hint="eastAsia" w:ascii="文星仿宋" w:eastAsia="文星仿宋" w:hAnsiTheme="minorEastAsia"/>
          <w:sz w:val="32"/>
          <w:szCs w:val="32"/>
          <w:highlight w:val="none"/>
          <w:lang w:val="en-US" w:eastAsia="zh-CN"/>
        </w:rPr>
        <w:t>早</w:t>
      </w:r>
      <w:r>
        <w:rPr>
          <w:rFonts w:hint="eastAsia" w:ascii="文星仿宋" w:eastAsia="文星仿宋" w:hAnsiTheme="minorEastAsia"/>
          <w:sz w:val="32"/>
          <w:szCs w:val="32"/>
          <w:highlight w:val="none"/>
        </w:rPr>
        <w:t>籼三级</w:t>
      </w:r>
      <w:r>
        <w:rPr>
          <w:rFonts w:hint="eastAsia" w:ascii="文星仿宋" w:eastAsia="文星仿宋" w:hAnsiTheme="minorEastAsia"/>
          <w:sz w:val="32"/>
          <w:szCs w:val="32"/>
          <w:highlight w:val="none"/>
          <w:lang w:val="en-US" w:eastAsia="zh-CN"/>
        </w:rPr>
        <w:t>稻</w:t>
      </w:r>
      <w:r>
        <w:rPr>
          <w:rFonts w:hint="eastAsia" w:ascii="文星仿宋" w:eastAsia="文星仿宋" w:hAnsiTheme="minorEastAsia"/>
          <w:sz w:val="32"/>
          <w:szCs w:val="32"/>
          <w:highlight w:val="none"/>
        </w:rPr>
        <w:t>谷</w:t>
      </w:r>
      <w:r>
        <w:rPr>
          <w:rFonts w:hint="eastAsia" w:ascii="文星仿宋" w:eastAsia="文星仿宋" w:hAnsiTheme="minorEastAsia"/>
          <w:sz w:val="32"/>
          <w:szCs w:val="32"/>
          <w:highlight w:val="none"/>
          <w:lang w:val="en-US" w:eastAsia="zh-CN"/>
        </w:rPr>
        <w:t>XXXXXX</w:t>
      </w:r>
      <w:r>
        <w:rPr>
          <w:rFonts w:hint="eastAsia" w:ascii="文星仿宋" w:eastAsia="文星仿宋" w:hAnsiTheme="minorEastAsia"/>
          <w:sz w:val="32"/>
          <w:szCs w:val="32"/>
          <w:highlight w:val="none"/>
        </w:rPr>
        <w:t>吨（合同编号：</w:t>
      </w:r>
      <w:r>
        <w:rPr>
          <w:rFonts w:hint="eastAsia" w:ascii="文星仿宋" w:eastAsia="文星仿宋" w:hAnsiTheme="minorEastAsia"/>
          <w:sz w:val="32"/>
          <w:szCs w:val="32"/>
          <w:highlight w:val="none"/>
          <w:lang w:val="en-US" w:eastAsia="zh-CN"/>
        </w:rPr>
        <w:t>XXXXXX</w:t>
      </w:r>
      <w:r>
        <w:rPr>
          <w:rFonts w:hint="eastAsia" w:ascii="文星仿宋" w:eastAsia="文星仿宋" w:hAnsiTheme="minorEastAsia"/>
          <w:sz w:val="32"/>
          <w:szCs w:val="32"/>
          <w:highlight w:val="none"/>
        </w:rPr>
        <w:t>）。我单位郑重承诺：</w:t>
      </w:r>
    </w:p>
    <w:p w14:paraId="2F02FEAF">
      <w:pPr>
        <w:ind w:firstLine="640" w:firstLineChars="200"/>
        <w:jc w:val="left"/>
        <w:rPr>
          <w:rFonts w:ascii="文星仿宋" w:eastAsia="文星仿宋" w:hAnsiTheme="minorEastAsia"/>
          <w:sz w:val="32"/>
          <w:szCs w:val="32"/>
          <w:highlight w:val="none"/>
        </w:rPr>
      </w:pPr>
      <w:r>
        <w:rPr>
          <w:rFonts w:hint="eastAsia" w:ascii="文星仿宋" w:eastAsia="文星仿宋" w:hAnsiTheme="minorEastAsia"/>
          <w:sz w:val="32"/>
          <w:szCs w:val="32"/>
          <w:highlight w:val="none"/>
        </w:rPr>
        <w:t>一、销售给贵公司的</w:t>
      </w:r>
      <w:r>
        <w:rPr>
          <w:rFonts w:eastAsia="文星仿宋"/>
          <w:sz w:val="32"/>
          <w:szCs w:val="32"/>
          <w:highlight w:val="none"/>
        </w:rPr>
        <w:t>该</w:t>
      </w:r>
      <w:r>
        <w:rPr>
          <w:rFonts w:hint="eastAsia" w:eastAsia="文星仿宋"/>
          <w:sz w:val="32"/>
          <w:szCs w:val="32"/>
          <w:highlight w:val="none"/>
        </w:rPr>
        <w:t>批粮食</w:t>
      </w:r>
      <w:r>
        <w:rPr>
          <w:rFonts w:hint="eastAsia" w:ascii="文星仿宋" w:hAnsi="文星仿宋" w:eastAsia="文星仿宋" w:cs="文星仿宋"/>
          <w:sz w:val="32"/>
          <w:szCs w:val="32"/>
          <w:highlight w:val="none"/>
        </w:rPr>
        <w:t>我单位拥有</w:t>
      </w:r>
      <w:r>
        <w:rPr>
          <w:rFonts w:hint="eastAsia" w:eastAsia="文星仿宋"/>
          <w:sz w:val="32"/>
          <w:szCs w:val="32"/>
          <w:highlight w:val="none"/>
        </w:rPr>
        <w:t>完全处分权，该批粮食之上未设定</w:t>
      </w:r>
      <w:r>
        <w:rPr>
          <w:rFonts w:eastAsia="文星仿宋"/>
          <w:sz w:val="32"/>
          <w:szCs w:val="32"/>
          <w:highlight w:val="none"/>
        </w:rPr>
        <w:t>任何他物权等财产负担，且未有任何第三人对</w:t>
      </w:r>
      <w:r>
        <w:rPr>
          <w:rFonts w:hint="eastAsia" w:eastAsia="文星仿宋"/>
          <w:sz w:val="32"/>
          <w:szCs w:val="32"/>
          <w:highlight w:val="none"/>
        </w:rPr>
        <w:t>该批粮食</w:t>
      </w:r>
      <w:r>
        <w:rPr>
          <w:rFonts w:eastAsia="文星仿宋"/>
          <w:sz w:val="32"/>
          <w:szCs w:val="32"/>
          <w:highlight w:val="none"/>
        </w:rPr>
        <w:t>提出任何权利主张</w:t>
      </w:r>
      <w:r>
        <w:rPr>
          <w:rFonts w:hint="eastAsia" w:eastAsia="文星仿宋"/>
          <w:sz w:val="32"/>
          <w:szCs w:val="32"/>
          <w:highlight w:val="none"/>
        </w:rPr>
        <w:t>，不存在权利瑕疵</w:t>
      </w:r>
      <w:r>
        <w:rPr>
          <w:rFonts w:hint="eastAsia" w:ascii="文星仿宋" w:hAnsi="文星仿宋" w:eastAsia="文星仿宋" w:cs="文星仿宋"/>
          <w:sz w:val="32"/>
          <w:szCs w:val="32"/>
          <w:highlight w:val="none"/>
        </w:rPr>
        <w:t>。</w:t>
      </w:r>
    </w:p>
    <w:p w14:paraId="2A43A23D">
      <w:pPr>
        <w:ind w:firstLine="640" w:firstLineChars="200"/>
        <w:jc w:val="left"/>
        <w:rPr>
          <w:rFonts w:ascii="文星仿宋" w:eastAsia="文星仿宋" w:hAnsiTheme="minorEastAsia"/>
          <w:sz w:val="32"/>
          <w:szCs w:val="32"/>
          <w:highlight w:val="none"/>
        </w:rPr>
      </w:pPr>
      <w:r>
        <w:rPr>
          <w:rFonts w:hint="eastAsia" w:ascii="文星仿宋" w:eastAsia="文星仿宋" w:hAnsiTheme="minorEastAsia"/>
          <w:sz w:val="32"/>
          <w:szCs w:val="32"/>
          <w:highlight w:val="none"/>
        </w:rPr>
        <w:t>二、销售给贵公司的粮食</w:t>
      </w:r>
      <w:r>
        <w:rPr>
          <w:rFonts w:hint="eastAsia" w:ascii="文星仿宋" w:hAnsi="文星仿宋" w:eastAsia="文星仿宋" w:cs="文星仿宋"/>
          <w:sz w:val="32"/>
          <w:szCs w:val="32"/>
          <w:highlight w:val="none"/>
        </w:rPr>
        <w:t>来源渠道合法正规，不混杂其他生产年份的粮食，不存在“以陈顶新”，“转圈粮”等违法违规行为</w:t>
      </w:r>
      <w:r>
        <w:rPr>
          <w:rFonts w:hint="eastAsia" w:ascii="宋体" w:hAnsi="宋体"/>
          <w:kern w:val="0"/>
          <w:sz w:val="24"/>
          <w:highlight w:val="none"/>
        </w:rPr>
        <w:t>，</w:t>
      </w:r>
      <w:r>
        <w:rPr>
          <w:rFonts w:hint="eastAsia" w:ascii="文星仿宋" w:hAnsi="文星仿宋" w:eastAsia="文星仿宋" w:cs="文星仿宋"/>
          <w:sz w:val="32"/>
          <w:szCs w:val="32"/>
          <w:highlight w:val="none"/>
        </w:rPr>
        <w:t>粮食质量符合合同约定标准。</w:t>
      </w:r>
    </w:p>
    <w:p w14:paraId="49F2671B">
      <w:pPr>
        <w:ind w:firstLine="640" w:firstLineChars="200"/>
        <w:jc w:val="left"/>
        <w:rPr>
          <w:rFonts w:ascii="文星仿宋" w:eastAsia="文星仿宋" w:hAnsiTheme="minorEastAsia"/>
          <w:sz w:val="32"/>
          <w:szCs w:val="32"/>
          <w:highlight w:val="none"/>
        </w:rPr>
      </w:pPr>
      <w:r>
        <w:rPr>
          <w:rFonts w:hint="eastAsia" w:ascii="文星仿宋" w:hAnsi="文星仿宋" w:eastAsia="文星仿宋" w:cs="文星仿宋"/>
          <w:sz w:val="32"/>
          <w:szCs w:val="32"/>
          <w:highlight w:val="none"/>
        </w:rPr>
        <w:t>三、如有违反</w:t>
      </w:r>
      <w:r>
        <w:rPr>
          <w:rFonts w:hint="eastAsia" w:ascii="文星仿宋" w:eastAsia="文星仿宋" w:hAnsiTheme="minorEastAsia"/>
          <w:sz w:val="32"/>
          <w:szCs w:val="32"/>
          <w:highlight w:val="none"/>
        </w:rPr>
        <w:t>，我单位愿承担违约和相关法律责任。</w:t>
      </w:r>
    </w:p>
    <w:p w14:paraId="4E19F874">
      <w:pPr>
        <w:ind w:firstLine="640" w:firstLineChars="200"/>
        <w:jc w:val="left"/>
        <w:rPr>
          <w:rFonts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特此承诺</w:t>
      </w:r>
    </w:p>
    <w:p w14:paraId="471DF953">
      <w:pPr>
        <w:jc w:val="left"/>
        <w:rPr>
          <w:rFonts w:hint="eastAsia" w:ascii="文星仿宋" w:eastAsia="文星仿宋" w:hAnsiTheme="minorEastAsia"/>
          <w:sz w:val="32"/>
          <w:szCs w:val="32"/>
          <w:highlight w:val="none"/>
          <w:lang w:val="en-US" w:eastAsia="zh-CN"/>
        </w:rPr>
      </w:pPr>
    </w:p>
    <w:p w14:paraId="2FFCBD3E">
      <w:pPr>
        <w:jc w:val="left"/>
        <w:rPr>
          <w:rFonts w:hint="eastAsia" w:ascii="文星仿宋" w:eastAsia="文星仿宋" w:hAnsiTheme="minorEastAsia"/>
          <w:sz w:val="32"/>
          <w:szCs w:val="32"/>
          <w:highlight w:val="none"/>
          <w:lang w:val="en-US" w:eastAsia="zh-CN"/>
        </w:rPr>
      </w:pPr>
    </w:p>
    <w:p w14:paraId="02D5F2A6">
      <w:pPr>
        <w:jc w:val="left"/>
        <w:rPr>
          <w:rFonts w:hint="eastAsia" w:ascii="文星仿宋" w:eastAsia="文星仿宋" w:hAnsiTheme="minorEastAsia"/>
          <w:sz w:val="32"/>
          <w:szCs w:val="32"/>
          <w:highlight w:val="none"/>
          <w:lang w:val="en-US" w:eastAsia="zh-CN"/>
        </w:rPr>
      </w:pPr>
    </w:p>
    <w:p w14:paraId="08230788">
      <w:pPr>
        <w:ind w:firstLine="3200" w:firstLineChars="1000"/>
        <w:jc w:val="left"/>
        <w:rPr>
          <w:rFonts w:hint="eastAsia" w:ascii="文星仿宋" w:eastAsia="文星仿宋" w:hAnsiTheme="minorEastAsia"/>
          <w:sz w:val="32"/>
          <w:szCs w:val="32"/>
          <w:highlight w:val="none"/>
          <w:lang w:val="en-US" w:eastAsia="zh-CN"/>
        </w:rPr>
      </w:pPr>
      <w:r>
        <w:rPr>
          <w:rFonts w:hint="eastAsia" w:ascii="文星仿宋" w:eastAsia="文星仿宋" w:hAnsiTheme="minorEastAsia"/>
          <w:sz w:val="32"/>
          <w:szCs w:val="32"/>
          <w:highlight w:val="none"/>
          <w:lang w:val="en-US" w:eastAsia="zh-CN"/>
        </w:rPr>
        <w:t>单位名称：</w:t>
      </w:r>
    </w:p>
    <w:p w14:paraId="60AF153E">
      <w:pPr>
        <w:ind w:firstLine="3200" w:firstLineChars="1000"/>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统一社会信用代码：</w:t>
      </w:r>
    </w:p>
    <w:p w14:paraId="0232D30A">
      <w:pPr>
        <w:ind w:firstLine="3200" w:firstLineChars="1000"/>
        <w:jc w:val="left"/>
        <w:rPr>
          <w:rFonts w:hint="eastAsia" w:ascii="文星仿宋" w:hAnsi="文星仿宋" w:eastAsia="文星仿宋" w:cs="文星仿宋"/>
          <w:sz w:val="32"/>
          <w:szCs w:val="32"/>
          <w:highlight w:val="none"/>
        </w:rPr>
      </w:pPr>
      <w:r>
        <w:rPr>
          <w:rFonts w:hint="eastAsia" w:ascii="文星仿宋" w:hAnsi="文星仿宋" w:eastAsia="文星仿宋" w:cs="文星仿宋"/>
          <w:sz w:val="32"/>
          <w:szCs w:val="32"/>
          <w:highlight w:val="none"/>
        </w:rPr>
        <w:t>法</w:t>
      </w:r>
      <w:r>
        <w:rPr>
          <w:rFonts w:hint="eastAsia" w:ascii="文星仿宋" w:hAnsi="文星仿宋" w:eastAsia="文星仿宋" w:cs="文星仿宋"/>
          <w:sz w:val="32"/>
          <w:szCs w:val="32"/>
          <w:highlight w:val="none"/>
          <w:lang w:val="en-US" w:eastAsia="zh-CN"/>
        </w:rPr>
        <w:t>定代表人</w:t>
      </w:r>
      <w:r>
        <w:rPr>
          <w:rFonts w:hint="eastAsia" w:ascii="文星仿宋" w:hAnsi="文星仿宋" w:eastAsia="文星仿宋" w:cs="文星仿宋"/>
          <w:sz w:val="32"/>
          <w:szCs w:val="32"/>
          <w:highlight w:val="none"/>
        </w:rPr>
        <w:t>签名：</w:t>
      </w:r>
    </w:p>
    <w:p w14:paraId="7D60E02D">
      <w:pPr>
        <w:ind w:firstLine="640" w:firstLineChars="200"/>
        <w:jc w:val="left"/>
        <w:rPr>
          <w:rFonts w:ascii="文星仿宋" w:eastAsia="文星仿宋"/>
          <w:sz w:val="32"/>
          <w:szCs w:val="32"/>
          <w:highlight w:val="none"/>
        </w:rPr>
      </w:pPr>
      <w:r>
        <w:rPr>
          <w:rFonts w:hint="eastAsia" w:ascii="文星仿宋" w:hAnsi="文星仿宋" w:eastAsia="文星仿宋" w:cs="文星仿宋"/>
          <w:sz w:val="32"/>
          <w:szCs w:val="32"/>
          <w:highlight w:val="none"/>
        </w:rPr>
        <w:t xml:space="preserve">          </w:t>
      </w:r>
      <w:r>
        <w:rPr>
          <w:rFonts w:hint="eastAsia" w:ascii="文星仿宋" w:hAnsi="文星仿宋" w:eastAsia="文星仿宋" w:cs="文星仿宋"/>
          <w:sz w:val="32"/>
          <w:szCs w:val="32"/>
          <w:highlight w:val="none"/>
          <w:lang w:val="en-US" w:eastAsia="zh-CN"/>
        </w:rPr>
        <w:t xml:space="preserve">      </w:t>
      </w:r>
      <w:r>
        <w:rPr>
          <w:rFonts w:hint="eastAsia" w:ascii="文星仿宋" w:hAnsi="文星仿宋" w:eastAsia="文星仿宋" w:cs="文星仿宋"/>
          <w:sz w:val="32"/>
          <w:szCs w:val="32"/>
          <w:highlight w:val="none"/>
        </w:rPr>
        <w:t>202</w:t>
      </w:r>
      <w:r>
        <w:rPr>
          <w:rFonts w:hint="eastAsia" w:ascii="文星仿宋" w:hAnsi="文星仿宋" w:eastAsia="文星仿宋" w:cs="文星仿宋"/>
          <w:sz w:val="32"/>
          <w:szCs w:val="32"/>
          <w:highlight w:val="none"/>
          <w:lang w:val="en-US" w:eastAsia="zh-CN"/>
        </w:rPr>
        <w:t>5</w:t>
      </w:r>
      <w:r>
        <w:rPr>
          <w:rFonts w:hint="eastAsia" w:ascii="文星仿宋" w:hAnsi="文星仿宋" w:eastAsia="文星仿宋" w:cs="文星仿宋"/>
          <w:sz w:val="32"/>
          <w:szCs w:val="32"/>
          <w:highlight w:val="none"/>
        </w:rPr>
        <w:t>年</w:t>
      </w:r>
      <w:r>
        <w:rPr>
          <w:rFonts w:hint="eastAsia" w:ascii="文星仿宋" w:eastAsia="文星仿宋" w:hAnsiTheme="minorEastAsia"/>
          <w:sz w:val="32"/>
          <w:szCs w:val="32"/>
          <w:highlight w:val="none"/>
          <w:lang w:val="en-US" w:eastAsia="zh-CN"/>
        </w:rPr>
        <w:t>XX</w:t>
      </w:r>
      <w:r>
        <w:rPr>
          <w:rFonts w:hint="eastAsia" w:ascii="文星仿宋" w:hAnsi="文星仿宋" w:eastAsia="文星仿宋" w:cs="文星仿宋"/>
          <w:sz w:val="32"/>
          <w:szCs w:val="32"/>
          <w:highlight w:val="none"/>
        </w:rPr>
        <w:t>月</w:t>
      </w:r>
      <w:r>
        <w:rPr>
          <w:rFonts w:hint="eastAsia" w:ascii="文星仿宋" w:eastAsia="文星仿宋" w:hAnsiTheme="minorEastAsia"/>
          <w:sz w:val="32"/>
          <w:szCs w:val="32"/>
          <w:highlight w:val="none"/>
          <w:lang w:val="en-US" w:eastAsia="zh-CN"/>
        </w:rPr>
        <w:t>XX</w:t>
      </w:r>
      <w:r>
        <w:rPr>
          <w:rFonts w:hint="eastAsia" w:ascii="文星仿宋" w:hAnsi="文星仿宋" w:eastAsia="文星仿宋" w:cs="文星仿宋"/>
          <w:sz w:val="32"/>
          <w:szCs w:val="32"/>
          <w:highlight w:val="none"/>
        </w:rPr>
        <w:t>日</w:t>
      </w:r>
    </w:p>
    <w:p w14:paraId="045A60C0">
      <w:pPr>
        <w:autoSpaceDE w:val="0"/>
        <w:autoSpaceDN w:val="0"/>
        <w:adjustRightInd w:val="0"/>
        <w:spacing w:line="320" w:lineRule="exact"/>
        <w:ind w:firstLine="354" w:firstLineChars="147"/>
        <w:rPr>
          <w:rFonts w:hint="eastAsia" w:ascii="宋体" w:hAnsi="宋体"/>
          <w:b/>
          <w:bCs/>
          <w:color w:val="auto"/>
          <w:sz w:val="24"/>
          <w:lang w:eastAsia="zh-CN"/>
        </w:rPr>
      </w:pPr>
      <w:bookmarkStart w:id="0" w:name="_GoBack"/>
      <w:bookmarkEnd w:id="0"/>
    </w:p>
    <w:p w14:paraId="29BE2045">
      <w:pPr>
        <w:autoSpaceDE w:val="0"/>
        <w:autoSpaceDN w:val="0"/>
        <w:adjustRightInd w:val="0"/>
        <w:spacing w:line="320" w:lineRule="exact"/>
        <w:ind w:firstLine="354" w:firstLineChars="147"/>
        <w:rPr>
          <w:rFonts w:hint="eastAsia" w:ascii="宋体" w:hAnsi="宋体"/>
          <w:b/>
          <w:bCs/>
          <w:color w:val="auto"/>
          <w:sz w:val="24"/>
          <w:lang w:eastAsia="zh-CN"/>
        </w:rPr>
      </w:pPr>
    </w:p>
    <w:sectPr>
      <w:pgSz w:w="11906" w:h="16838"/>
      <w:pgMar w:top="1191" w:right="1418" w:bottom="119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1" w:fontKey="{B11C7D0C-2A81-42F6-AEB2-4091F387FFEC}"/>
  </w:font>
  <w:font w:name="文星标宋">
    <w:panose1 w:val="02010609000101010101"/>
    <w:charset w:val="86"/>
    <w:family w:val="modern"/>
    <w:pitch w:val="default"/>
    <w:sig w:usb0="00000001" w:usb1="080E0000" w:usb2="00000000" w:usb3="00000000" w:csb0="00040000" w:csb1="00000000"/>
    <w:embedRegular r:id="rId2" w:fontKey="{670537DC-E719-455B-A4EC-92E8E379095C}"/>
  </w:font>
  <w:font w:name="文星仿宋">
    <w:panose1 w:val="02010604000101010101"/>
    <w:charset w:val="86"/>
    <w:family w:val="modern"/>
    <w:pitch w:val="default"/>
    <w:sig w:usb0="00000001" w:usb1="080E0000" w:usb2="00000000" w:usb3="00000000" w:csb0="00040001" w:csb1="00000000"/>
    <w:embedRegular r:id="rId3" w:fontKey="{5E42F334-0A26-427B-9E6C-E8F450991F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464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92625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5514">
    <w:pPr>
      <w:pStyle w:val="6"/>
      <w:framePr w:wrap="around" w:vAnchor="text" w:hAnchor="margin" w:xAlign="center" w:y="1"/>
      <w:rPr>
        <w:rStyle w:val="11"/>
      </w:rPr>
    </w:pPr>
    <w:r>
      <w:fldChar w:fldCharType="begin"/>
    </w:r>
    <w:r>
      <w:rPr>
        <w:rStyle w:val="11"/>
      </w:rPr>
      <w:instrText xml:space="preserve">PAGE  </w:instrText>
    </w:r>
    <w:r>
      <w:fldChar w:fldCharType="end"/>
    </w:r>
  </w:p>
  <w:p w14:paraId="0FCBA2F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B63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2EC2D"/>
    <w:multiLevelType w:val="singleLevel"/>
    <w:tmpl w:val="A5D2EC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36225"/>
    <w:rsid w:val="000401BE"/>
    <w:rsid w:val="00045121"/>
    <w:rsid w:val="00055A83"/>
    <w:rsid w:val="000624FC"/>
    <w:rsid w:val="00072BAD"/>
    <w:rsid w:val="00074864"/>
    <w:rsid w:val="0007555F"/>
    <w:rsid w:val="00077F84"/>
    <w:rsid w:val="00082C1F"/>
    <w:rsid w:val="00086CF7"/>
    <w:rsid w:val="00090ABE"/>
    <w:rsid w:val="00094F2B"/>
    <w:rsid w:val="00096B25"/>
    <w:rsid w:val="000A0633"/>
    <w:rsid w:val="000A09F7"/>
    <w:rsid w:val="000A0C4D"/>
    <w:rsid w:val="000A4A9B"/>
    <w:rsid w:val="000B0E83"/>
    <w:rsid w:val="000C5481"/>
    <w:rsid w:val="000D0F00"/>
    <w:rsid w:val="000F3F4B"/>
    <w:rsid w:val="000F5601"/>
    <w:rsid w:val="00100FE5"/>
    <w:rsid w:val="001035B8"/>
    <w:rsid w:val="00110D01"/>
    <w:rsid w:val="00111327"/>
    <w:rsid w:val="00113892"/>
    <w:rsid w:val="001146BC"/>
    <w:rsid w:val="001152CA"/>
    <w:rsid w:val="001273E8"/>
    <w:rsid w:val="0013605A"/>
    <w:rsid w:val="001431E1"/>
    <w:rsid w:val="00143C5C"/>
    <w:rsid w:val="00152DA2"/>
    <w:rsid w:val="00181382"/>
    <w:rsid w:val="00184CAB"/>
    <w:rsid w:val="0019175D"/>
    <w:rsid w:val="00194632"/>
    <w:rsid w:val="0019661D"/>
    <w:rsid w:val="001A0993"/>
    <w:rsid w:val="001A765E"/>
    <w:rsid w:val="001B4128"/>
    <w:rsid w:val="001B5708"/>
    <w:rsid w:val="001B6B5F"/>
    <w:rsid w:val="001C2629"/>
    <w:rsid w:val="001C3EC4"/>
    <w:rsid w:val="001D579A"/>
    <w:rsid w:val="001E10AE"/>
    <w:rsid w:val="001E2B98"/>
    <w:rsid w:val="001E3CA3"/>
    <w:rsid w:val="001E4FDA"/>
    <w:rsid w:val="001E594C"/>
    <w:rsid w:val="001F768A"/>
    <w:rsid w:val="00200335"/>
    <w:rsid w:val="00201245"/>
    <w:rsid w:val="00206907"/>
    <w:rsid w:val="002116A3"/>
    <w:rsid w:val="002119E6"/>
    <w:rsid w:val="002203EE"/>
    <w:rsid w:val="00221ED0"/>
    <w:rsid w:val="002263BB"/>
    <w:rsid w:val="00230826"/>
    <w:rsid w:val="00234722"/>
    <w:rsid w:val="00256722"/>
    <w:rsid w:val="00262519"/>
    <w:rsid w:val="00265B18"/>
    <w:rsid w:val="00275E64"/>
    <w:rsid w:val="00286933"/>
    <w:rsid w:val="0029138D"/>
    <w:rsid w:val="002914C6"/>
    <w:rsid w:val="00297ADC"/>
    <w:rsid w:val="002B4B08"/>
    <w:rsid w:val="002C1323"/>
    <w:rsid w:val="002C2FFF"/>
    <w:rsid w:val="002C39C9"/>
    <w:rsid w:val="002C67DE"/>
    <w:rsid w:val="002E0E68"/>
    <w:rsid w:val="002F26F5"/>
    <w:rsid w:val="002F5CB1"/>
    <w:rsid w:val="003038C8"/>
    <w:rsid w:val="00304C25"/>
    <w:rsid w:val="003210DD"/>
    <w:rsid w:val="00321372"/>
    <w:rsid w:val="00323542"/>
    <w:rsid w:val="00333BEE"/>
    <w:rsid w:val="003377DE"/>
    <w:rsid w:val="00343AC6"/>
    <w:rsid w:val="00351E3A"/>
    <w:rsid w:val="00366E27"/>
    <w:rsid w:val="00371CF7"/>
    <w:rsid w:val="00377B20"/>
    <w:rsid w:val="003846F5"/>
    <w:rsid w:val="00385F2B"/>
    <w:rsid w:val="00391184"/>
    <w:rsid w:val="003950A2"/>
    <w:rsid w:val="003A760F"/>
    <w:rsid w:val="003B0C28"/>
    <w:rsid w:val="003B6694"/>
    <w:rsid w:val="003B707A"/>
    <w:rsid w:val="003B7CBD"/>
    <w:rsid w:val="003C0010"/>
    <w:rsid w:val="003C1B0F"/>
    <w:rsid w:val="003D3DAC"/>
    <w:rsid w:val="003D641E"/>
    <w:rsid w:val="003D66AA"/>
    <w:rsid w:val="003E051E"/>
    <w:rsid w:val="003E5E3D"/>
    <w:rsid w:val="003E5E84"/>
    <w:rsid w:val="003F44A2"/>
    <w:rsid w:val="003F4EA9"/>
    <w:rsid w:val="003F7012"/>
    <w:rsid w:val="00403D33"/>
    <w:rsid w:val="0041467E"/>
    <w:rsid w:val="00432670"/>
    <w:rsid w:val="0043458D"/>
    <w:rsid w:val="0044051E"/>
    <w:rsid w:val="00460C08"/>
    <w:rsid w:val="00467C91"/>
    <w:rsid w:val="00470F90"/>
    <w:rsid w:val="004812D8"/>
    <w:rsid w:val="0048146F"/>
    <w:rsid w:val="00482960"/>
    <w:rsid w:val="004851E2"/>
    <w:rsid w:val="00487D5C"/>
    <w:rsid w:val="00497FD1"/>
    <w:rsid w:val="004A095E"/>
    <w:rsid w:val="004D3FC7"/>
    <w:rsid w:val="004D5BB5"/>
    <w:rsid w:val="004D787A"/>
    <w:rsid w:val="004E747F"/>
    <w:rsid w:val="004F2395"/>
    <w:rsid w:val="004F70D0"/>
    <w:rsid w:val="004F7206"/>
    <w:rsid w:val="004F74C3"/>
    <w:rsid w:val="005046F7"/>
    <w:rsid w:val="00511694"/>
    <w:rsid w:val="00537024"/>
    <w:rsid w:val="00537C86"/>
    <w:rsid w:val="00547CD6"/>
    <w:rsid w:val="00552CA1"/>
    <w:rsid w:val="005534E2"/>
    <w:rsid w:val="0056124C"/>
    <w:rsid w:val="005644F2"/>
    <w:rsid w:val="00583CEA"/>
    <w:rsid w:val="00585AE5"/>
    <w:rsid w:val="005874E9"/>
    <w:rsid w:val="00593972"/>
    <w:rsid w:val="00594B32"/>
    <w:rsid w:val="005A266A"/>
    <w:rsid w:val="005A382B"/>
    <w:rsid w:val="005A424C"/>
    <w:rsid w:val="005B6590"/>
    <w:rsid w:val="005C6853"/>
    <w:rsid w:val="005D5600"/>
    <w:rsid w:val="005E1815"/>
    <w:rsid w:val="005E658F"/>
    <w:rsid w:val="005F3B4B"/>
    <w:rsid w:val="00606DF5"/>
    <w:rsid w:val="0061262E"/>
    <w:rsid w:val="0062205C"/>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4BBC"/>
    <w:rsid w:val="006B79B7"/>
    <w:rsid w:val="006C06F8"/>
    <w:rsid w:val="006D1EDC"/>
    <w:rsid w:val="006D2D0A"/>
    <w:rsid w:val="006D3AA2"/>
    <w:rsid w:val="006D4BF2"/>
    <w:rsid w:val="006D6917"/>
    <w:rsid w:val="006E28DE"/>
    <w:rsid w:val="006F1488"/>
    <w:rsid w:val="0070203D"/>
    <w:rsid w:val="007042E7"/>
    <w:rsid w:val="007073D7"/>
    <w:rsid w:val="007244E1"/>
    <w:rsid w:val="00727C6D"/>
    <w:rsid w:val="00734507"/>
    <w:rsid w:val="00741AD7"/>
    <w:rsid w:val="007505F7"/>
    <w:rsid w:val="007523DD"/>
    <w:rsid w:val="00753619"/>
    <w:rsid w:val="007538F2"/>
    <w:rsid w:val="00756BA9"/>
    <w:rsid w:val="00762D9E"/>
    <w:rsid w:val="00776CB9"/>
    <w:rsid w:val="00781293"/>
    <w:rsid w:val="007A010F"/>
    <w:rsid w:val="007A273F"/>
    <w:rsid w:val="007A2EC9"/>
    <w:rsid w:val="007A3877"/>
    <w:rsid w:val="007A7320"/>
    <w:rsid w:val="007B3B44"/>
    <w:rsid w:val="007D0C0F"/>
    <w:rsid w:val="007D3A9C"/>
    <w:rsid w:val="007D3DC4"/>
    <w:rsid w:val="007D4AEC"/>
    <w:rsid w:val="007D71C0"/>
    <w:rsid w:val="007E1BB5"/>
    <w:rsid w:val="007E4470"/>
    <w:rsid w:val="007F4EC0"/>
    <w:rsid w:val="007F7866"/>
    <w:rsid w:val="00800713"/>
    <w:rsid w:val="00803A12"/>
    <w:rsid w:val="00813068"/>
    <w:rsid w:val="0081372D"/>
    <w:rsid w:val="00816F5C"/>
    <w:rsid w:val="00840854"/>
    <w:rsid w:val="00856319"/>
    <w:rsid w:val="008661C4"/>
    <w:rsid w:val="00884457"/>
    <w:rsid w:val="00890A7C"/>
    <w:rsid w:val="00894724"/>
    <w:rsid w:val="00894BCB"/>
    <w:rsid w:val="00897A05"/>
    <w:rsid w:val="00897B08"/>
    <w:rsid w:val="008A37EB"/>
    <w:rsid w:val="008A7532"/>
    <w:rsid w:val="008A7BCD"/>
    <w:rsid w:val="008B5853"/>
    <w:rsid w:val="008C4D69"/>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34849"/>
    <w:rsid w:val="00947862"/>
    <w:rsid w:val="0095021A"/>
    <w:rsid w:val="00960103"/>
    <w:rsid w:val="009624E9"/>
    <w:rsid w:val="00962F69"/>
    <w:rsid w:val="00974ABA"/>
    <w:rsid w:val="00980044"/>
    <w:rsid w:val="0098191B"/>
    <w:rsid w:val="00982B1B"/>
    <w:rsid w:val="009841DB"/>
    <w:rsid w:val="00984BE7"/>
    <w:rsid w:val="0098781B"/>
    <w:rsid w:val="00995EB5"/>
    <w:rsid w:val="00997E5F"/>
    <w:rsid w:val="009B4746"/>
    <w:rsid w:val="009B727A"/>
    <w:rsid w:val="009C0410"/>
    <w:rsid w:val="009C1A33"/>
    <w:rsid w:val="009D1AF3"/>
    <w:rsid w:val="009E1C25"/>
    <w:rsid w:val="009F1556"/>
    <w:rsid w:val="009F1889"/>
    <w:rsid w:val="009F1BE8"/>
    <w:rsid w:val="009F238F"/>
    <w:rsid w:val="009F6E54"/>
    <w:rsid w:val="009F7D0D"/>
    <w:rsid w:val="00A019CC"/>
    <w:rsid w:val="00A1109F"/>
    <w:rsid w:val="00A241D6"/>
    <w:rsid w:val="00A5661E"/>
    <w:rsid w:val="00A61D06"/>
    <w:rsid w:val="00A65FC5"/>
    <w:rsid w:val="00A66B37"/>
    <w:rsid w:val="00A75677"/>
    <w:rsid w:val="00A80C20"/>
    <w:rsid w:val="00A81D0C"/>
    <w:rsid w:val="00A83996"/>
    <w:rsid w:val="00A8409C"/>
    <w:rsid w:val="00A84A52"/>
    <w:rsid w:val="00A86704"/>
    <w:rsid w:val="00A946A1"/>
    <w:rsid w:val="00A973C1"/>
    <w:rsid w:val="00AA23E3"/>
    <w:rsid w:val="00AB36EC"/>
    <w:rsid w:val="00AC111C"/>
    <w:rsid w:val="00AC437F"/>
    <w:rsid w:val="00AD09FB"/>
    <w:rsid w:val="00AD2773"/>
    <w:rsid w:val="00AD366C"/>
    <w:rsid w:val="00AD5B2E"/>
    <w:rsid w:val="00AE2C8E"/>
    <w:rsid w:val="00AF6B6A"/>
    <w:rsid w:val="00B01323"/>
    <w:rsid w:val="00B02B4F"/>
    <w:rsid w:val="00B06CDC"/>
    <w:rsid w:val="00B10AB9"/>
    <w:rsid w:val="00B12E1F"/>
    <w:rsid w:val="00B13CBE"/>
    <w:rsid w:val="00B14AD9"/>
    <w:rsid w:val="00B172B6"/>
    <w:rsid w:val="00B22967"/>
    <w:rsid w:val="00B30583"/>
    <w:rsid w:val="00B30E77"/>
    <w:rsid w:val="00B36C5C"/>
    <w:rsid w:val="00B40838"/>
    <w:rsid w:val="00B43DB3"/>
    <w:rsid w:val="00B441E4"/>
    <w:rsid w:val="00B4670E"/>
    <w:rsid w:val="00B47562"/>
    <w:rsid w:val="00B477B7"/>
    <w:rsid w:val="00B51907"/>
    <w:rsid w:val="00B51F50"/>
    <w:rsid w:val="00B559F6"/>
    <w:rsid w:val="00B56D77"/>
    <w:rsid w:val="00B71757"/>
    <w:rsid w:val="00B71D81"/>
    <w:rsid w:val="00B72FE7"/>
    <w:rsid w:val="00B75572"/>
    <w:rsid w:val="00B81DDB"/>
    <w:rsid w:val="00B83B3A"/>
    <w:rsid w:val="00B85595"/>
    <w:rsid w:val="00B91D67"/>
    <w:rsid w:val="00B948AD"/>
    <w:rsid w:val="00B96DB6"/>
    <w:rsid w:val="00BA4FF5"/>
    <w:rsid w:val="00BA7F35"/>
    <w:rsid w:val="00BB3BC4"/>
    <w:rsid w:val="00BB3F45"/>
    <w:rsid w:val="00BC06A9"/>
    <w:rsid w:val="00BC36D9"/>
    <w:rsid w:val="00BC486A"/>
    <w:rsid w:val="00BC60F9"/>
    <w:rsid w:val="00BC7FE5"/>
    <w:rsid w:val="00BD24F5"/>
    <w:rsid w:val="00BD3BEB"/>
    <w:rsid w:val="00BD639F"/>
    <w:rsid w:val="00BF6531"/>
    <w:rsid w:val="00C13039"/>
    <w:rsid w:val="00C256A6"/>
    <w:rsid w:val="00C26A5E"/>
    <w:rsid w:val="00C273AD"/>
    <w:rsid w:val="00C36713"/>
    <w:rsid w:val="00C40257"/>
    <w:rsid w:val="00C44C4E"/>
    <w:rsid w:val="00C52187"/>
    <w:rsid w:val="00C55291"/>
    <w:rsid w:val="00C56F8F"/>
    <w:rsid w:val="00C62B28"/>
    <w:rsid w:val="00C66196"/>
    <w:rsid w:val="00C66EA7"/>
    <w:rsid w:val="00C67EF0"/>
    <w:rsid w:val="00C703DA"/>
    <w:rsid w:val="00C7107C"/>
    <w:rsid w:val="00C77215"/>
    <w:rsid w:val="00C83FB6"/>
    <w:rsid w:val="00C903BA"/>
    <w:rsid w:val="00C936A8"/>
    <w:rsid w:val="00CA46F9"/>
    <w:rsid w:val="00CB769B"/>
    <w:rsid w:val="00CD0183"/>
    <w:rsid w:val="00CD6992"/>
    <w:rsid w:val="00CD6AC1"/>
    <w:rsid w:val="00CE2620"/>
    <w:rsid w:val="00CE3257"/>
    <w:rsid w:val="00CE3B9B"/>
    <w:rsid w:val="00CE4D88"/>
    <w:rsid w:val="00CF6EA2"/>
    <w:rsid w:val="00D1010C"/>
    <w:rsid w:val="00D2111B"/>
    <w:rsid w:val="00D244FD"/>
    <w:rsid w:val="00D24989"/>
    <w:rsid w:val="00D24C2D"/>
    <w:rsid w:val="00D258A1"/>
    <w:rsid w:val="00D57136"/>
    <w:rsid w:val="00D5713F"/>
    <w:rsid w:val="00D652C4"/>
    <w:rsid w:val="00D73337"/>
    <w:rsid w:val="00D75AA6"/>
    <w:rsid w:val="00D836D9"/>
    <w:rsid w:val="00D851E9"/>
    <w:rsid w:val="00D95A57"/>
    <w:rsid w:val="00D97003"/>
    <w:rsid w:val="00DA3629"/>
    <w:rsid w:val="00DB1AFF"/>
    <w:rsid w:val="00DB4B2E"/>
    <w:rsid w:val="00DC232D"/>
    <w:rsid w:val="00DE2C0F"/>
    <w:rsid w:val="00DE3463"/>
    <w:rsid w:val="00DE4060"/>
    <w:rsid w:val="00DF6020"/>
    <w:rsid w:val="00DF706E"/>
    <w:rsid w:val="00E07358"/>
    <w:rsid w:val="00E0746B"/>
    <w:rsid w:val="00E14A60"/>
    <w:rsid w:val="00E20EA5"/>
    <w:rsid w:val="00E219D2"/>
    <w:rsid w:val="00E23D58"/>
    <w:rsid w:val="00E33929"/>
    <w:rsid w:val="00E40991"/>
    <w:rsid w:val="00E43966"/>
    <w:rsid w:val="00E47453"/>
    <w:rsid w:val="00E512AF"/>
    <w:rsid w:val="00E533CC"/>
    <w:rsid w:val="00E54548"/>
    <w:rsid w:val="00E54836"/>
    <w:rsid w:val="00E65B1A"/>
    <w:rsid w:val="00E80D78"/>
    <w:rsid w:val="00E81C52"/>
    <w:rsid w:val="00E827AD"/>
    <w:rsid w:val="00E85B2B"/>
    <w:rsid w:val="00E85C18"/>
    <w:rsid w:val="00EA00C1"/>
    <w:rsid w:val="00EA2EC3"/>
    <w:rsid w:val="00EA39FC"/>
    <w:rsid w:val="00EA461C"/>
    <w:rsid w:val="00EB4FCE"/>
    <w:rsid w:val="00EC661D"/>
    <w:rsid w:val="00ED0D22"/>
    <w:rsid w:val="00ED2799"/>
    <w:rsid w:val="00ED33C3"/>
    <w:rsid w:val="00EE0A98"/>
    <w:rsid w:val="00EE5BD4"/>
    <w:rsid w:val="00EE7F00"/>
    <w:rsid w:val="00F04283"/>
    <w:rsid w:val="00F0710C"/>
    <w:rsid w:val="00F07E67"/>
    <w:rsid w:val="00F116EF"/>
    <w:rsid w:val="00F1181B"/>
    <w:rsid w:val="00F158EB"/>
    <w:rsid w:val="00F240D2"/>
    <w:rsid w:val="00F27AF4"/>
    <w:rsid w:val="00F319FD"/>
    <w:rsid w:val="00F47AE9"/>
    <w:rsid w:val="00F550A9"/>
    <w:rsid w:val="00F56373"/>
    <w:rsid w:val="00F60374"/>
    <w:rsid w:val="00F65396"/>
    <w:rsid w:val="00F71E49"/>
    <w:rsid w:val="00F76468"/>
    <w:rsid w:val="00F846DB"/>
    <w:rsid w:val="00F91909"/>
    <w:rsid w:val="00F92554"/>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270686F"/>
    <w:rsid w:val="051143AD"/>
    <w:rsid w:val="05E2393C"/>
    <w:rsid w:val="07161D73"/>
    <w:rsid w:val="07F22CB7"/>
    <w:rsid w:val="08F3298F"/>
    <w:rsid w:val="0908176D"/>
    <w:rsid w:val="0B821BFB"/>
    <w:rsid w:val="0B9126F6"/>
    <w:rsid w:val="0D392F89"/>
    <w:rsid w:val="0EEC7B37"/>
    <w:rsid w:val="0F3236B6"/>
    <w:rsid w:val="0F8C4FA7"/>
    <w:rsid w:val="0FCD39CA"/>
    <w:rsid w:val="10CB02D8"/>
    <w:rsid w:val="118C0E6B"/>
    <w:rsid w:val="12135876"/>
    <w:rsid w:val="125C3356"/>
    <w:rsid w:val="127C4DBC"/>
    <w:rsid w:val="1346135D"/>
    <w:rsid w:val="13F71254"/>
    <w:rsid w:val="16B33316"/>
    <w:rsid w:val="17E0408A"/>
    <w:rsid w:val="181E51BF"/>
    <w:rsid w:val="1857557B"/>
    <w:rsid w:val="193D18B1"/>
    <w:rsid w:val="1AFC7132"/>
    <w:rsid w:val="20360172"/>
    <w:rsid w:val="215A0B39"/>
    <w:rsid w:val="225D7EDE"/>
    <w:rsid w:val="231075B9"/>
    <w:rsid w:val="234C07DB"/>
    <w:rsid w:val="23A423C5"/>
    <w:rsid w:val="240E30B5"/>
    <w:rsid w:val="26095380"/>
    <w:rsid w:val="27804876"/>
    <w:rsid w:val="28024BAA"/>
    <w:rsid w:val="2A8E7BD6"/>
    <w:rsid w:val="2C1A571D"/>
    <w:rsid w:val="2D000152"/>
    <w:rsid w:val="2ECE4DFA"/>
    <w:rsid w:val="2F320885"/>
    <w:rsid w:val="2F584C39"/>
    <w:rsid w:val="31D670FA"/>
    <w:rsid w:val="321B5F48"/>
    <w:rsid w:val="323D01C2"/>
    <w:rsid w:val="33EC7386"/>
    <w:rsid w:val="349D0E96"/>
    <w:rsid w:val="34FA1E45"/>
    <w:rsid w:val="355B33E1"/>
    <w:rsid w:val="36246FC4"/>
    <w:rsid w:val="36787D3F"/>
    <w:rsid w:val="37353CF1"/>
    <w:rsid w:val="378D4918"/>
    <w:rsid w:val="3AF85F80"/>
    <w:rsid w:val="3C0D0169"/>
    <w:rsid w:val="3C856F5D"/>
    <w:rsid w:val="3D4354D0"/>
    <w:rsid w:val="3D51466B"/>
    <w:rsid w:val="3DE10046"/>
    <w:rsid w:val="3E6E3B45"/>
    <w:rsid w:val="3F7756B9"/>
    <w:rsid w:val="407816AF"/>
    <w:rsid w:val="40893FBC"/>
    <w:rsid w:val="408A516E"/>
    <w:rsid w:val="40DE6ABE"/>
    <w:rsid w:val="42776B9A"/>
    <w:rsid w:val="42BE54D1"/>
    <w:rsid w:val="435265C6"/>
    <w:rsid w:val="4389779A"/>
    <w:rsid w:val="43BB4ED7"/>
    <w:rsid w:val="45062B34"/>
    <w:rsid w:val="456B20FC"/>
    <w:rsid w:val="460A59B4"/>
    <w:rsid w:val="48A47531"/>
    <w:rsid w:val="49497F5F"/>
    <w:rsid w:val="4AD229A4"/>
    <w:rsid w:val="4C4D38D7"/>
    <w:rsid w:val="4C7C1E5F"/>
    <w:rsid w:val="4CC8609B"/>
    <w:rsid w:val="4E5649C1"/>
    <w:rsid w:val="50165AAE"/>
    <w:rsid w:val="505B0E92"/>
    <w:rsid w:val="50DA5CC6"/>
    <w:rsid w:val="5117647A"/>
    <w:rsid w:val="52275BA3"/>
    <w:rsid w:val="523B63BD"/>
    <w:rsid w:val="5503669C"/>
    <w:rsid w:val="55E0078B"/>
    <w:rsid w:val="5659286D"/>
    <w:rsid w:val="57D202A6"/>
    <w:rsid w:val="57FA74C5"/>
    <w:rsid w:val="5B822C91"/>
    <w:rsid w:val="5CA13D41"/>
    <w:rsid w:val="603F27E3"/>
    <w:rsid w:val="60B20EBA"/>
    <w:rsid w:val="60B600C2"/>
    <w:rsid w:val="60FF2EFC"/>
    <w:rsid w:val="61200DE8"/>
    <w:rsid w:val="619A6C42"/>
    <w:rsid w:val="66E12C28"/>
    <w:rsid w:val="698741E4"/>
    <w:rsid w:val="6A535578"/>
    <w:rsid w:val="6AD14CF6"/>
    <w:rsid w:val="6B9F5BFD"/>
    <w:rsid w:val="6BA4711E"/>
    <w:rsid w:val="6DD620DC"/>
    <w:rsid w:val="6EB80BDF"/>
    <w:rsid w:val="71F226C2"/>
    <w:rsid w:val="73726A6F"/>
    <w:rsid w:val="737D55AB"/>
    <w:rsid w:val="740B2A1F"/>
    <w:rsid w:val="751002ED"/>
    <w:rsid w:val="7670311D"/>
    <w:rsid w:val="76780840"/>
    <w:rsid w:val="76D16318"/>
    <w:rsid w:val="78063DE7"/>
    <w:rsid w:val="78DD6CAF"/>
    <w:rsid w:val="79D97FF7"/>
    <w:rsid w:val="7A047CE7"/>
    <w:rsid w:val="7A2778C9"/>
    <w:rsid w:val="7AE02EFB"/>
    <w:rsid w:val="7D565D1B"/>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1B17-985B-47E5-A6E2-3C614B9ECE6C}">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4</Pages>
  <Words>1889</Words>
  <Characters>2012</Characters>
  <Lines>17</Lines>
  <Paragraphs>4</Paragraphs>
  <TotalTime>0</TotalTime>
  <ScaleCrop>false</ScaleCrop>
  <LinksUpToDate>false</LinksUpToDate>
  <CharactersWithSpaces>2132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2022-08-29T10:20:00Z</dcterms:created>
  <dc:creator>hn</dc:creator>
  <cp:lastModifiedBy>晨怡</cp:lastModifiedBy>
  <cp:lastPrinted>2023-07-14T00:59:00Z</cp:lastPrinted>
  <dcterms:modified xsi:type="dcterms:W3CDTF">2025-08-01T01:54:23Z</dcterms:modified>
  <dc:title>广东华南粮食中心批发市场</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5C911A15E7344ED29D4FFDE67136E159_13</vt:lpwstr>
  </property>
  <property fmtid="{D5CDD505-2E9C-101B-9397-08002B2CF9AE}" pid="4" name="KSOTemplateDocerSaveRecord">
    <vt:lpwstr>eyJoZGlkIjoiZDQzNWNjZmMwOGZkY2FmNjMzMDM1ZTk0ODJlZGM0NzIiLCJ1c2VySWQiOiI3NjE2NDY1NDUifQ==</vt:lpwstr>
  </property>
</Properties>
</file>